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D439" w14:textId="77777777" w:rsidR="00F8229F" w:rsidRPr="00443B6F" w:rsidRDefault="00F8229F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44797CB4" w14:textId="77777777" w:rsidR="00F8229F" w:rsidRPr="00443B6F" w:rsidRDefault="00F8229F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03B1D1BF" w14:textId="77777777" w:rsidR="00F8229F" w:rsidRPr="00443B6F" w:rsidRDefault="00F8229F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57C84362" w14:textId="77777777" w:rsidR="00F8229F" w:rsidRPr="00443B6F" w:rsidRDefault="00F8229F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4F054B41" w14:textId="31B72689" w:rsidR="00F8229F" w:rsidRPr="00443B6F" w:rsidRDefault="00F8229F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4463893B" w14:textId="77777777" w:rsidR="00DC2F2D" w:rsidRPr="00443B6F" w:rsidRDefault="00DC2F2D" w:rsidP="006743B5">
      <w:pPr>
        <w:ind w:firstLine="0"/>
        <w:rPr>
          <w:lang w:val="hu-HU"/>
        </w:rPr>
      </w:pPr>
    </w:p>
    <w:p w14:paraId="1924DC73" w14:textId="77777777" w:rsidR="00F8229F" w:rsidRPr="00443B6F" w:rsidRDefault="00F8229F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3629E778" w14:textId="361F0B40" w:rsidR="00F8229F" w:rsidRPr="00443B6F" w:rsidRDefault="00463C60" w:rsidP="00B012C0">
      <w:pPr>
        <w:pStyle w:val="Title"/>
        <w:jc w:val="center"/>
        <w:rPr>
          <w:sz w:val="32"/>
          <w:szCs w:val="32"/>
          <w:lang w:val="hu-HU"/>
        </w:rPr>
      </w:pPr>
      <w:r w:rsidRPr="00443B6F">
        <w:rPr>
          <w:sz w:val="32"/>
          <w:szCs w:val="32"/>
          <w:lang w:val="hu-HU"/>
        </w:rPr>
        <w:t>Biztosítási Szerződések</w:t>
      </w:r>
      <w:r w:rsidR="000B3158" w:rsidRPr="00443B6F">
        <w:rPr>
          <w:sz w:val="32"/>
          <w:szCs w:val="32"/>
          <w:lang w:val="hu-HU"/>
        </w:rPr>
        <w:t xml:space="preserve"> elszámolása a Nemzetközi Pénzügyi Jelentési Szabvány (</w:t>
      </w:r>
      <w:r w:rsidRPr="00443B6F">
        <w:rPr>
          <w:sz w:val="32"/>
          <w:szCs w:val="32"/>
          <w:lang w:val="hu-HU"/>
        </w:rPr>
        <w:t>IFRS</w:t>
      </w:r>
      <w:r w:rsidR="006743B5" w:rsidRPr="00443B6F">
        <w:rPr>
          <w:sz w:val="32"/>
          <w:szCs w:val="32"/>
          <w:lang w:val="hu-HU"/>
        </w:rPr>
        <w:t xml:space="preserve"> </w:t>
      </w:r>
      <w:r w:rsidRPr="00443B6F">
        <w:rPr>
          <w:sz w:val="32"/>
          <w:szCs w:val="32"/>
          <w:lang w:val="hu-HU"/>
        </w:rPr>
        <w:t>17</w:t>
      </w:r>
      <w:r w:rsidR="000B3158" w:rsidRPr="00443B6F">
        <w:rPr>
          <w:sz w:val="32"/>
          <w:szCs w:val="32"/>
          <w:lang w:val="hu-HU"/>
        </w:rPr>
        <w:t>) szerint</w:t>
      </w:r>
    </w:p>
    <w:p w14:paraId="00A1A936" w14:textId="77777777" w:rsidR="00F8229F" w:rsidRPr="00443B6F" w:rsidRDefault="00F8229F" w:rsidP="003D6468">
      <w:pPr>
        <w:pStyle w:val="Heading4"/>
        <w:numPr>
          <w:ilvl w:val="1"/>
          <w:numId w:val="0"/>
        </w:numPr>
        <w:spacing w:before="40" w:line="276" w:lineRule="auto"/>
        <w:jc w:val="center"/>
        <w:rPr>
          <w:bCs w:val="0"/>
          <w:i w:val="0"/>
          <w:color w:val="auto"/>
          <w:lang w:val="hu-HU"/>
        </w:rPr>
      </w:pPr>
      <w:r w:rsidRPr="00443B6F">
        <w:rPr>
          <w:bCs w:val="0"/>
          <w:i w:val="0"/>
          <w:color w:val="auto"/>
          <w:lang w:val="hu-HU"/>
        </w:rPr>
        <w:t xml:space="preserve">A Magyar </w:t>
      </w:r>
      <w:proofErr w:type="spellStart"/>
      <w:r w:rsidRPr="00443B6F">
        <w:rPr>
          <w:bCs w:val="0"/>
          <w:i w:val="0"/>
          <w:color w:val="auto"/>
          <w:lang w:val="hu-HU"/>
        </w:rPr>
        <w:t>Aktuárius</w:t>
      </w:r>
      <w:proofErr w:type="spellEnd"/>
      <w:r w:rsidRPr="00443B6F">
        <w:rPr>
          <w:bCs w:val="0"/>
          <w:i w:val="0"/>
          <w:color w:val="auto"/>
          <w:lang w:val="hu-HU"/>
        </w:rPr>
        <w:t xml:space="preserve"> Társaság IFRS Munkacsoportjának észrevételei</w:t>
      </w:r>
    </w:p>
    <w:p w14:paraId="54E51C16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74735CEB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08C0A261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61221237" w14:textId="3240C0B4" w:rsidR="00B4747E" w:rsidRPr="00443B6F" w:rsidRDefault="00C422C4" w:rsidP="0044206D">
      <w:pPr>
        <w:spacing w:after="200" w:line="276" w:lineRule="auto"/>
        <w:ind w:firstLine="0"/>
        <w:jc w:val="center"/>
        <w:rPr>
          <w:rFonts w:asciiTheme="majorHAnsi" w:hAnsiTheme="majorHAnsi" w:cstheme="minorHAnsi"/>
          <w:i/>
          <w:lang w:val="hu-HU"/>
        </w:rPr>
      </w:pPr>
      <w:r w:rsidRPr="00443B6F">
        <w:rPr>
          <w:rFonts w:asciiTheme="majorHAnsi" w:hAnsiTheme="majorHAnsi" w:cstheme="minorHAnsi"/>
          <w:i/>
          <w:lang w:val="hu-HU"/>
        </w:rPr>
        <w:t xml:space="preserve">Figyelemfelhívás: ezen dokumentum együtt olvasandó az IASB </w:t>
      </w:r>
      <w:r w:rsidR="00380319" w:rsidRPr="00443B6F">
        <w:rPr>
          <w:rFonts w:asciiTheme="majorHAnsi" w:hAnsiTheme="majorHAnsi" w:cstheme="minorHAnsi"/>
          <w:i/>
          <w:lang w:val="hu-HU"/>
        </w:rPr>
        <w:t>által 2017. májusában kibocsátott, a biztosítási szerződésekről szóló IFRS</w:t>
      </w:r>
      <w:r w:rsidR="007D6702" w:rsidRPr="00443B6F">
        <w:rPr>
          <w:rFonts w:asciiTheme="majorHAnsi" w:hAnsiTheme="majorHAnsi" w:cstheme="minorHAnsi"/>
          <w:i/>
          <w:lang w:val="hu-HU"/>
        </w:rPr>
        <w:t xml:space="preserve"> </w:t>
      </w:r>
      <w:r w:rsidR="00380319" w:rsidRPr="00443B6F">
        <w:rPr>
          <w:rFonts w:asciiTheme="majorHAnsi" w:hAnsiTheme="majorHAnsi" w:cstheme="minorHAnsi"/>
          <w:i/>
          <w:lang w:val="hu-HU"/>
        </w:rPr>
        <w:t>17-</w:t>
      </w:r>
      <w:r w:rsidR="00A87657" w:rsidRPr="00443B6F">
        <w:rPr>
          <w:rFonts w:asciiTheme="majorHAnsi" w:hAnsiTheme="majorHAnsi" w:cstheme="minorHAnsi"/>
          <w:i/>
          <w:lang w:val="hu-HU"/>
        </w:rPr>
        <w:t>es szabvánnyal</w:t>
      </w:r>
      <w:r w:rsidR="007D6702" w:rsidRPr="00443B6F">
        <w:rPr>
          <w:rFonts w:asciiTheme="majorHAnsi" w:hAnsiTheme="majorHAnsi" w:cstheme="minorHAnsi"/>
          <w:i/>
          <w:lang w:val="hu-HU"/>
        </w:rPr>
        <w:t xml:space="preserve">, illetve az azóta megszületett olyan dokumentumokkal, amelyek relevánsak lehetnek; legyenek ezek a szabvány hivatalos módosításai, vagy az implementáció segítése érdekében megszületett egyéb dokumentumok. </w:t>
      </w:r>
    </w:p>
    <w:p w14:paraId="7321C3E9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7165AC1D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6488D915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70FCE0E7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737F239A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6F85B3EB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77542AA4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72F4C18C" w14:textId="77777777" w:rsidR="00B4747E" w:rsidRPr="00443B6F" w:rsidRDefault="00B4747E" w:rsidP="00B012C0">
      <w:pPr>
        <w:spacing w:after="200" w:line="276" w:lineRule="auto"/>
        <w:ind w:firstLine="0"/>
        <w:jc w:val="both"/>
        <w:rPr>
          <w:rFonts w:asciiTheme="majorHAnsi" w:hAnsiTheme="majorHAnsi" w:cstheme="minorHAnsi"/>
          <w:lang w:val="hu-HU"/>
        </w:rPr>
      </w:pPr>
    </w:p>
    <w:p w14:paraId="32B20E52" w14:textId="66C3A548" w:rsidR="00F8229F" w:rsidRPr="00443B6F" w:rsidRDefault="00F8229F" w:rsidP="00B012C0">
      <w:pPr>
        <w:spacing w:after="200" w:line="276" w:lineRule="auto"/>
        <w:ind w:firstLine="0"/>
        <w:jc w:val="right"/>
        <w:rPr>
          <w:rFonts w:asciiTheme="majorHAnsi" w:hAnsiTheme="majorHAnsi" w:cstheme="minorHAnsi"/>
          <w:i/>
          <w:lang w:val="hu-HU"/>
        </w:rPr>
      </w:pPr>
      <w:r w:rsidRPr="00443B6F">
        <w:rPr>
          <w:rFonts w:asciiTheme="majorHAnsi" w:hAnsiTheme="majorHAnsi" w:cstheme="minorHAnsi"/>
          <w:i/>
          <w:lang w:val="hu-HU"/>
        </w:rPr>
        <w:t>20</w:t>
      </w:r>
      <w:r w:rsidR="003D6468" w:rsidRPr="00443B6F">
        <w:rPr>
          <w:rFonts w:asciiTheme="majorHAnsi" w:hAnsiTheme="majorHAnsi" w:cstheme="minorHAnsi"/>
          <w:i/>
          <w:lang w:val="hu-HU"/>
        </w:rPr>
        <w:t>2</w:t>
      </w:r>
      <w:r w:rsidR="006743B5" w:rsidRPr="00443B6F">
        <w:rPr>
          <w:rFonts w:asciiTheme="majorHAnsi" w:hAnsiTheme="majorHAnsi" w:cstheme="minorHAnsi"/>
          <w:i/>
          <w:lang w:val="hu-HU"/>
        </w:rPr>
        <w:t>1</w:t>
      </w:r>
      <w:r w:rsidR="00A802B6" w:rsidRPr="00443B6F">
        <w:rPr>
          <w:rFonts w:asciiTheme="majorHAnsi" w:hAnsiTheme="majorHAnsi" w:cstheme="minorHAnsi"/>
          <w:i/>
          <w:lang w:val="hu-HU"/>
        </w:rPr>
        <w:t>.</w:t>
      </w:r>
      <w:r w:rsidR="001A1BA1" w:rsidRPr="00443B6F">
        <w:rPr>
          <w:rFonts w:asciiTheme="majorHAnsi" w:hAnsiTheme="majorHAnsi" w:cstheme="minorHAnsi"/>
          <w:i/>
          <w:lang w:val="hu-HU"/>
        </w:rPr>
        <w:t xml:space="preserve"> </w:t>
      </w:r>
      <w:r w:rsidR="008A175A" w:rsidRPr="00443B6F">
        <w:rPr>
          <w:rFonts w:asciiTheme="majorHAnsi" w:hAnsiTheme="majorHAnsi" w:cstheme="minorHAnsi"/>
          <w:i/>
          <w:lang w:val="hu-HU"/>
        </w:rPr>
        <w:t>december</w:t>
      </w:r>
    </w:p>
    <w:p w14:paraId="73DC405E" w14:textId="34AD1B2A" w:rsidR="000D6923" w:rsidRPr="00443B6F" w:rsidRDefault="000D6923" w:rsidP="00B012C0">
      <w:pPr>
        <w:spacing w:after="200" w:line="276" w:lineRule="auto"/>
        <w:ind w:firstLine="0"/>
        <w:jc w:val="right"/>
        <w:rPr>
          <w:rFonts w:asciiTheme="majorHAnsi" w:hAnsiTheme="majorHAnsi" w:cstheme="minorHAnsi"/>
          <w:lang w:val="hu-HU"/>
        </w:rPr>
      </w:pPr>
      <w:r w:rsidRPr="00443B6F">
        <w:rPr>
          <w:rFonts w:asciiTheme="majorHAnsi" w:hAnsiTheme="majorHAnsi" w:cstheme="minorHAnsi"/>
          <w:lang w:val="hu-HU"/>
        </w:rPr>
        <w:t>1.</w:t>
      </w:r>
      <w:r w:rsidR="001A1BA1" w:rsidRPr="00443B6F">
        <w:rPr>
          <w:rFonts w:asciiTheme="majorHAnsi" w:hAnsiTheme="majorHAnsi" w:cstheme="minorHAnsi"/>
          <w:lang w:val="hu-HU"/>
        </w:rPr>
        <w:t>1</w:t>
      </w:r>
      <w:r w:rsidR="006743B5" w:rsidRPr="00443B6F">
        <w:rPr>
          <w:rFonts w:asciiTheme="majorHAnsi" w:hAnsiTheme="majorHAnsi" w:cstheme="minorHAnsi"/>
          <w:lang w:val="hu-HU"/>
        </w:rPr>
        <w:t>2</w:t>
      </w:r>
      <w:r w:rsidR="007D6702" w:rsidRPr="00443B6F">
        <w:rPr>
          <w:rFonts w:asciiTheme="majorHAnsi" w:hAnsiTheme="majorHAnsi" w:cstheme="minorHAnsi"/>
          <w:lang w:val="hu-HU"/>
        </w:rPr>
        <w:t xml:space="preserve"> </w:t>
      </w:r>
      <w:r w:rsidRPr="00443B6F">
        <w:rPr>
          <w:rFonts w:asciiTheme="majorHAnsi" w:hAnsiTheme="majorHAnsi" w:cstheme="minorHAnsi"/>
          <w:lang w:val="hu-HU"/>
        </w:rPr>
        <w:t>verzió</w:t>
      </w:r>
    </w:p>
    <w:p w14:paraId="7552B804" w14:textId="77777777" w:rsidR="005D4400" w:rsidRPr="00443B6F" w:rsidRDefault="005D4400">
      <w:pPr>
        <w:spacing w:after="200" w:line="276" w:lineRule="auto"/>
        <w:ind w:firstLine="0"/>
        <w:rPr>
          <w:b/>
          <w:bCs/>
          <w:lang w:val="hu-HU"/>
        </w:rPr>
      </w:pPr>
    </w:p>
    <w:p w14:paraId="6C4F0380" w14:textId="77777777" w:rsidR="005D4400" w:rsidRPr="00443B6F" w:rsidRDefault="005D4400">
      <w:pPr>
        <w:spacing w:after="200" w:line="276" w:lineRule="auto"/>
        <w:ind w:firstLine="0"/>
        <w:rPr>
          <w:b/>
          <w:bCs/>
          <w:lang w:val="hu-HU"/>
        </w:rPr>
      </w:pPr>
    </w:p>
    <w:p w14:paraId="54DF364A" w14:textId="77777777" w:rsidR="005D4400" w:rsidRPr="00443B6F" w:rsidRDefault="005D4400">
      <w:pPr>
        <w:spacing w:after="200" w:line="276" w:lineRule="auto"/>
        <w:ind w:firstLine="0"/>
        <w:rPr>
          <w:b/>
          <w:bCs/>
          <w:lang w:val="hu-HU"/>
        </w:rPr>
      </w:pPr>
    </w:p>
    <w:p w14:paraId="668A80A3" w14:textId="49592607" w:rsidR="00505EEC" w:rsidRPr="00443B6F" w:rsidRDefault="00505EEC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hu-HU" w:eastAsia="ja-JP"/>
        </w:rPr>
      </w:pPr>
      <w:r w:rsidRPr="00443B6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hu-HU" w:eastAsia="ja-JP"/>
        </w:rPr>
        <w:lastRenderedPageBreak/>
        <w:t>A dokumentumról</w:t>
      </w:r>
    </w:p>
    <w:p w14:paraId="7C14AF6F" w14:textId="77777777" w:rsidR="00505EEC" w:rsidRPr="00443B6F" w:rsidRDefault="00505EEC">
      <w:pPr>
        <w:spacing w:after="200" w:line="276" w:lineRule="auto"/>
        <w:ind w:firstLine="0"/>
        <w:rPr>
          <w:lang w:val="hu-HU"/>
        </w:rPr>
      </w:pPr>
    </w:p>
    <w:p w14:paraId="5E938455" w14:textId="48119B95" w:rsidR="005D30FD" w:rsidRPr="00443B6F" w:rsidRDefault="005D30FD">
      <w:pPr>
        <w:spacing w:after="200" w:line="276" w:lineRule="auto"/>
        <w:ind w:firstLine="0"/>
        <w:rPr>
          <w:lang w:val="hu-HU"/>
        </w:rPr>
      </w:pPr>
      <w:r w:rsidRPr="00443B6F">
        <w:rPr>
          <w:b/>
          <w:bCs/>
          <w:lang w:val="hu-HU"/>
        </w:rPr>
        <w:t>Készítette</w:t>
      </w:r>
      <w:r w:rsidRPr="00443B6F">
        <w:rPr>
          <w:lang w:val="hu-HU"/>
        </w:rPr>
        <w:t>:</w:t>
      </w:r>
      <w:r w:rsidR="00032533" w:rsidRPr="00443B6F">
        <w:rPr>
          <w:lang w:val="hu-HU"/>
        </w:rPr>
        <w:t xml:space="preserve"> MAT IFRS Munkacsoport tagjai</w:t>
      </w:r>
    </w:p>
    <w:p w14:paraId="5BCD3833" w14:textId="532182AF" w:rsidR="00AB7278" w:rsidRPr="00443B6F" w:rsidRDefault="00AB7278" w:rsidP="00AB7278">
      <w:pPr>
        <w:spacing w:after="200" w:line="276" w:lineRule="auto"/>
        <w:ind w:firstLine="0"/>
        <w:rPr>
          <w:lang w:val="hu-HU"/>
        </w:rPr>
      </w:pPr>
      <w:r w:rsidRPr="00443B6F">
        <w:rPr>
          <w:b/>
          <w:bCs/>
          <w:lang w:val="hu-HU"/>
        </w:rPr>
        <w:t>Felelős</w:t>
      </w:r>
      <w:r w:rsidR="00FF7204" w:rsidRPr="00443B6F">
        <w:rPr>
          <w:b/>
          <w:bCs/>
          <w:lang w:val="hu-HU"/>
        </w:rPr>
        <w:t>:</w:t>
      </w:r>
      <w:r w:rsidR="00FF7204" w:rsidRPr="00443B6F">
        <w:rPr>
          <w:lang w:val="hu-HU"/>
        </w:rPr>
        <w:t xml:space="preserve"> </w:t>
      </w:r>
      <w:r w:rsidRPr="00443B6F">
        <w:rPr>
          <w:lang w:val="hu-HU"/>
        </w:rPr>
        <w:t>Szabó Zoltán László</w:t>
      </w:r>
      <w:r w:rsidR="00FF7204" w:rsidRPr="00443B6F">
        <w:rPr>
          <w:lang w:val="hu-HU"/>
        </w:rPr>
        <w:t>, a munkacs</w:t>
      </w:r>
      <w:r w:rsidR="00BE5DE2" w:rsidRPr="00443B6F">
        <w:rPr>
          <w:lang w:val="hu-HU"/>
        </w:rPr>
        <w:t>o</w:t>
      </w:r>
      <w:r w:rsidR="00FF7204" w:rsidRPr="00443B6F">
        <w:rPr>
          <w:lang w:val="hu-HU"/>
        </w:rPr>
        <w:t>port elnöke</w:t>
      </w:r>
    </w:p>
    <w:p w14:paraId="6AF1F1F0" w14:textId="60397590" w:rsidR="00AB7278" w:rsidRPr="00443B6F" w:rsidRDefault="00AB7278" w:rsidP="00AB7278">
      <w:pPr>
        <w:spacing w:after="200" w:line="276" w:lineRule="auto"/>
        <w:ind w:firstLine="0"/>
        <w:rPr>
          <w:lang w:val="hu-HU"/>
        </w:rPr>
      </w:pPr>
      <w:r w:rsidRPr="00443B6F">
        <w:rPr>
          <w:b/>
          <w:bCs/>
          <w:lang w:val="hu-HU"/>
        </w:rPr>
        <w:t>Kapcsolat:</w:t>
      </w:r>
      <w:r w:rsidRPr="00443B6F">
        <w:rPr>
          <w:lang w:val="hu-HU"/>
        </w:rPr>
        <w:t xml:space="preserve"> ifrs@actuary.hu</w:t>
      </w:r>
    </w:p>
    <w:p w14:paraId="5191A755" w14:textId="77777777" w:rsidR="00AB7278" w:rsidRPr="00443B6F" w:rsidRDefault="00AB7278">
      <w:pPr>
        <w:spacing w:after="200" w:line="276" w:lineRule="auto"/>
        <w:ind w:firstLine="0"/>
        <w:rPr>
          <w:lang w:val="hu-HU"/>
        </w:rPr>
      </w:pPr>
    </w:p>
    <w:p w14:paraId="041E8FCF" w14:textId="77777777" w:rsidR="004C7B43" w:rsidRPr="00C26CCF" w:rsidRDefault="004C7B43" w:rsidP="00C26CCF">
      <w:pPr>
        <w:pStyle w:val="Heading3"/>
        <w:spacing w:before="40" w:after="120" w:line="276" w:lineRule="auto"/>
        <w:ind w:firstLine="0"/>
        <w:rPr>
          <w:bCs w:val="0"/>
          <w:color w:val="244061" w:themeColor="accent1" w:themeShade="80"/>
          <w:sz w:val="26"/>
          <w:szCs w:val="24"/>
          <w:lang w:val="hu-HU"/>
        </w:rPr>
      </w:pPr>
      <w:bookmarkStart w:id="0" w:name="_Toc91191777"/>
      <w:r w:rsidRPr="00C26CCF">
        <w:rPr>
          <w:bCs w:val="0"/>
          <w:color w:val="244061" w:themeColor="accent1" w:themeShade="80"/>
          <w:sz w:val="26"/>
          <w:szCs w:val="24"/>
          <w:lang w:val="hu-HU"/>
        </w:rPr>
        <w:t>Jelölések</w:t>
      </w:r>
      <w:bookmarkEnd w:id="0"/>
    </w:p>
    <w:p w14:paraId="237FBB7D" w14:textId="77777777" w:rsidR="004C7B43" w:rsidRPr="00443B6F" w:rsidRDefault="004C7B43" w:rsidP="004C7B43">
      <w:pPr>
        <w:rPr>
          <w:lang w:val="hu-HU"/>
        </w:rPr>
      </w:pPr>
    </w:p>
    <w:p w14:paraId="7648623B" w14:textId="77777777" w:rsidR="004C7B43" w:rsidRPr="00443B6F" w:rsidRDefault="004C7B43" w:rsidP="004C7B43">
      <w:pPr>
        <w:pStyle w:val="CommentText"/>
        <w:rPr>
          <w:lang w:val="hu-HU"/>
        </w:rPr>
      </w:pPr>
      <w:r w:rsidRPr="00443B6F">
        <w:rPr>
          <w:lang w:val="hu-HU"/>
        </w:rPr>
        <w:t>Igyekeztünk az olvasót az alábbi jelölésekkel segíteni</w:t>
      </w:r>
    </w:p>
    <w:p w14:paraId="51ED57A3" w14:textId="77777777" w:rsidR="004C7B43" w:rsidRPr="00443B6F" w:rsidRDefault="004C7B43" w:rsidP="004C7B43">
      <w:pPr>
        <w:pStyle w:val="CommentText"/>
        <w:numPr>
          <w:ilvl w:val="0"/>
          <w:numId w:val="41"/>
        </w:numPr>
        <w:rPr>
          <w:lang w:val="hu-HU"/>
        </w:rPr>
      </w:pPr>
      <w:r w:rsidRPr="00443B6F">
        <w:rPr>
          <w:lang w:val="hu-HU"/>
        </w:rPr>
        <w:t xml:space="preserve">A </w:t>
      </w:r>
      <w:r w:rsidRPr="00443B6F">
        <w:rPr>
          <w:rStyle w:val="Standard"/>
          <w:rFonts w:eastAsiaTheme="minorHAnsi"/>
          <w:bCs/>
          <w:iCs/>
          <w:sz w:val="22"/>
          <w:szCs w:val="22"/>
        </w:rPr>
        <w:t>sötétkék betűs</w:t>
      </w:r>
      <w:r w:rsidRPr="00443B6F">
        <w:rPr>
          <w:lang w:val="hu-HU"/>
        </w:rPr>
        <w:t xml:space="preserve"> szöveg a szabványból vett részeket jelöli</w:t>
      </w:r>
    </w:p>
    <w:p w14:paraId="1947D8C4" w14:textId="77777777" w:rsidR="004C7B43" w:rsidRPr="00443B6F" w:rsidRDefault="004C7B43" w:rsidP="004C7B43">
      <w:pPr>
        <w:pStyle w:val="CommentText"/>
        <w:numPr>
          <w:ilvl w:val="0"/>
          <w:numId w:val="41"/>
        </w:numPr>
        <w:rPr>
          <w:lang w:val="hu-HU"/>
        </w:rPr>
      </w:pPr>
      <w:r w:rsidRPr="00443B6F">
        <w:rPr>
          <w:lang w:val="hu-HU"/>
        </w:rPr>
        <w:t xml:space="preserve">Az </w:t>
      </w:r>
      <w:r w:rsidRPr="00443B6F">
        <w:rPr>
          <w:rStyle w:val="ElnevezsChar"/>
          <w:bCs/>
          <w:iCs/>
          <w:sz w:val="22"/>
          <w:szCs w:val="22"/>
          <w:lang w:val="hu-HU"/>
        </w:rPr>
        <w:t xml:space="preserve">elnevezéseket </w:t>
      </w:r>
      <w:r w:rsidRPr="00443B6F">
        <w:rPr>
          <w:lang w:val="hu-HU"/>
        </w:rPr>
        <w:t>külön jelöltük, ezekből később külön lista készül majd</w:t>
      </w:r>
    </w:p>
    <w:p w14:paraId="745394CB" w14:textId="40BCE068" w:rsidR="004C7B43" w:rsidRPr="00443B6F" w:rsidRDefault="004C7B43" w:rsidP="004C7B43">
      <w:pPr>
        <w:pStyle w:val="CommentText"/>
        <w:numPr>
          <w:ilvl w:val="0"/>
          <w:numId w:val="41"/>
        </w:numPr>
        <w:rPr>
          <w:lang w:val="hu-HU"/>
        </w:rPr>
      </w:pPr>
      <w:r w:rsidRPr="00443B6F">
        <w:rPr>
          <w:lang w:val="hu-HU"/>
        </w:rPr>
        <w:t>Lábjegyzetekben találhatók a hivatkozások</w:t>
      </w:r>
    </w:p>
    <w:p w14:paraId="41D8B95A" w14:textId="482F0988" w:rsidR="005D30FD" w:rsidRDefault="005D30FD">
      <w:pPr>
        <w:spacing w:after="200" w:line="276" w:lineRule="auto"/>
        <w:ind w:firstLine="0"/>
        <w:rPr>
          <w:lang w:val="hu-HU"/>
        </w:rPr>
      </w:pPr>
    </w:p>
    <w:p w14:paraId="4F8D8B1C" w14:textId="77777777" w:rsidR="004C7B43" w:rsidRPr="00443B6F" w:rsidRDefault="004C7B43">
      <w:pPr>
        <w:spacing w:after="200" w:line="276" w:lineRule="auto"/>
        <w:ind w:firstLine="0"/>
        <w:rPr>
          <w:lang w:val="hu-HU"/>
        </w:rPr>
      </w:pPr>
    </w:p>
    <w:p w14:paraId="04BE2E1B" w14:textId="014F31E7" w:rsidR="003D6468" w:rsidRPr="00C26CCF" w:rsidRDefault="005D4400" w:rsidP="00C26CCF">
      <w:pPr>
        <w:pStyle w:val="Heading3"/>
        <w:spacing w:before="40" w:after="120" w:line="276" w:lineRule="auto"/>
        <w:ind w:firstLine="0"/>
        <w:rPr>
          <w:bCs w:val="0"/>
          <w:color w:val="244061" w:themeColor="accent1" w:themeShade="80"/>
          <w:sz w:val="26"/>
          <w:szCs w:val="24"/>
          <w:lang w:val="hu-HU"/>
        </w:rPr>
      </w:pPr>
      <w:bookmarkStart w:id="1" w:name="_Toc91191778"/>
      <w:r w:rsidRPr="00C26CCF">
        <w:rPr>
          <w:bCs w:val="0"/>
          <w:color w:val="244061" w:themeColor="accent1" w:themeShade="80"/>
          <w:sz w:val="26"/>
          <w:szCs w:val="24"/>
          <w:lang w:val="hu-HU"/>
        </w:rPr>
        <w:t>Verziókövetés</w:t>
      </w:r>
      <w:bookmarkEnd w:id="1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329"/>
        <w:gridCol w:w="1927"/>
        <w:gridCol w:w="3402"/>
        <w:gridCol w:w="2551"/>
      </w:tblGrid>
      <w:tr w:rsidR="00F45A01" w:rsidRPr="00443B6F" w14:paraId="0A0EDE90" w14:textId="77777777" w:rsidTr="00F45A01">
        <w:tc>
          <w:tcPr>
            <w:tcW w:w="1329" w:type="dxa"/>
          </w:tcPr>
          <w:p w14:paraId="75FB5C04" w14:textId="733D20D1" w:rsidR="00F45A01" w:rsidRPr="00443B6F" w:rsidRDefault="00F45A01" w:rsidP="00F45A01">
            <w:pPr>
              <w:spacing w:after="200" w:line="276" w:lineRule="auto"/>
              <w:ind w:firstLine="0"/>
              <w:rPr>
                <w:b/>
                <w:bCs/>
                <w:lang w:val="hu-HU"/>
              </w:rPr>
            </w:pPr>
            <w:r w:rsidRPr="00443B6F">
              <w:rPr>
                <w:b/>
                <w:bCs/>
                <w:lang w:val="hu-HU"/>
              </w:rPr>
              <w:t>Verzió</w:t>
            </w:r>
          </w:p>
        </w:tc>
        <w:tc>
          <w:tcPr>
            <w:tcW w:w="1927" w:type="dxa"/>
          </w:tcPr>
          <w:p w14:paraId="0A0C7CF1" w14:textId="2EFD02F0" w:rsidR="00F45A01" w:rsidRPr="00443B6F" w:rsidRDefault="00F45A01" w:rsidP="00F45A01">
            <w:pPr>
              <w:spacing w:after="200" w:line="276" w:lineRule="auto"/>
              <w:ind w:firstLine="0"/>
              <w:rPr>
                <w:b/>
                <w:bCs/>
                <w:lang w:val="hu-HU"/>
              </w:rPr>
            </w:pPr>
            <w:r w:rsidRPr="00443B6F">
              <w:rPr>
                <w:b/>
                <w:bCs/>
                <w:lang w:val="hu-HU"/>
              </w:rPr>
              <w:t>Dátum</w:t>
            </w:r>
          </w:p>
        </w:tc>
        <w:tc>
          <w:tcPr>
            <w:tcW w:w="3402" w:type="dxa"/>
          </w:tcPr>
          <w:p w14:paraId="4FFE6F25" w14:textId="55E705DA" w:rsidR="00F45A01" w:rsidRPr="00443B6F" w:rsidRDefault="00F45A01" w:rsidP="00F45A01">
            <w:pPr>
              <w:spacing w:after="200" w:line="276" w:lineRule="auto"/>
              <w:ind w:firstLine="0"/>
              <w:rPr>
                <w:b/>
                <w:bCs/>
                <w:lang w:val="hu-HU"/>
              </w:rPr>
            </w:pPr>
            <w:r w:rsidRPr="00443B6F">
              <w:rPr>
                <w:b/>
                <w:bCs/>
                <w:lang w:val="hu-HU"/>
              </w:rPr>
              <w:t>Leírás</w:t>
            </w:r>
          </w:p>
        </w:tc>
        <w:tc>
          <w:tcPr>
            <w:tcW w:w="2551" w:type="dxa"/>
          </w:tcPr>
          <w:p w14:paraId="6EFABD13" w14:textId="02ABA3AD" w:rsidR="00F45A01" w:rsidRPr="00443B6F" w:rsidRDefault="00F45A01" w:rsidP="00F45A01">
            <w:pPr>
              <w:spacing w:after="200" w:line="276" w:lineRule="auto"/>
              <w:ind w:firstLine="0"/>
              <w:rPr>
                <w:b/>
                <w:bCs/>
                <w:lang w:val="hu-HU"/>
              </w:rPr>
            </w:pPr>
            <w:r w:rsidRPr="00443B6F">
              <w:rPr>
                <w:b/>
                <w:bCs/>
                <w:lang w:val="hu-HU"/>
              </w:rPr>
              <w:t>Szerző(k)</w:t>
            </w:r>
          </w:p>
        </w:tc>
      </w:tr>
      <w:tr w:rsidR="00F45A01" w:rsidRPr="00443B6F" w14:paraId="5C3EB63B" w14:textId="77777777" w:rsidTr="00F45A01">
        <w:tc>
          <w:tcPr>
            <w:tcW w:w="1329" w:type="dxa"/>
          </w:tcPr>
          <w:p w14:paraId="4A95AC7D" w14:textId="53470F7E" w:rsidR="00F45A01" w:rsidRPr="00443B6F" w:rsidRDefault="00F45A01" w:rsidP="00F45A01">
            <w:pPr>
              <w:spacing w:after="200" w:line="276" w:lineRule="auto"/>
              <w:ind w:firstLine="0"/>
              <w:rPr>
                <w:lang w:val="hu-HU"/>
              </w:rPr>
            </w:pPr>
            <w:r w:rsidRPr="00443B6F">
              <w:rPr>
                <w:lang w:val="hu-HU"/>
              </w:rPr>
              <w:t>v1</w:t>
            </w:r>
          </w:p>
        </w:tc>
        <w:tc>
          <w:tcPr>
            <w:tcW w:w="1927" w:type="dxa"/>
          </w:tcPr>
          <w:p w14:paraId="5989748D" w14:textId="3B668209" w:rsidR="00F45A01" w:rsidRPr="00443B6F" w:rsidRDefault="00F45A01" w:rsidP="00F45A01">
            <w:pPr>
              <w:spacing w:after="200" w:line="276" w:lineRule="auto"/>
              <w:ind w:firstLine="0"/>
              <w:rPr>
                <w:lang w:val="hu-HU"/>
              </w:rPr>
            </w:pPr>
            <w:r w:rsidRPr="00443B6F">
              <w:rPr>
                <w:lang w:val="hu-HU"/>
              </w:rPr>
              <w:t>2021. 12. 23</w:t>
            </w:r>
          </w:p>
        </w:tc>
        <w:tc>
          <w:tcPr>
            <w:tcW w:w="3402" w:type="dxa"/>
          </w:tcPr>
          <w:p w14:paraId="18EB93A0" w14:textId="22AAB91E" w:rsidR="00F45A01" w:rsidRPr="00443B6F" w:rsidRDefault="00F45A01" w:rsidP="00F45A01">
            <w:pPr>
              <w:spacing w:after="200" w:line="276" w:lineRule="auto"/>
              <w:ind w:firstLine="0"/>
              <w:rPr>
                <w:lang w:val="hu-HU"/>
              </w:rPr>
            </w:pPr>
            <w:r w:rsidRPr="00443B6F">
              <w:rPr>
                <w:lang w:val="hu-HU"/>
              </w:rPr>
              <w:t>Első publikált változat</w:t>
            </w:r>
          </w:p>
        </w:tc>
        <w:tc>
          <w:tcPr>
            <w:tcW w:w="2551" w:type="dxa"/>
          </w:tcPr>
          <w:p w14:paraId="343A52C0" w14:textId="77777777" w:rsidR="00443B6F" w:rsidRPr="00443B6F" w:rsidRDefault="00F45A01" w:rsidP="00443B6F">
            <w:pPr>
              <w:spacing w:line="276" w:lineRule="auto"/>
              <w:ind w:firstLine="0"/>
              <w:rPr>
                <w:lang w:val="hu-HU"/>
              </w:rPr>
            </w:pPr>
            <w:r w:rsidRPr="00443B6F">
              <w:rPr>
                <w:lang w:val="hu-HU"/>
              </w:rPr>
              <w:t>Bokor Veronika,</w:t>
            </w:r>
          </w:p>
          <w:p w14:paraId="596F9E05" w14:textId="77777777" w:rsidR="00443B6F" w:rsidRPr="00443B6F" w:rsidRDefault="00F45A01" w:rsidP="00443B6F">
            <w:pPr>
              <w:spacing w:line="276" w:lineRule="auto"/>
              <w:ind w:firstLine="0"/>
              <w:rPr>
                <w:lang w:val="hu-HU"/>
              </w:rPr>
            </w:pPr>
            <w:r w:rsidRPr="00443B6F">
              <w:rPr>
                <w:lang w:val="hu-HU"/>
              </w:rPr>
              <w:t xml:space="preserve">Könczöl Enikő, </w:t>
            </w:r>
          </w:p>
          <w:p w14:paraId="0B6DCCBF" w14:textId="6347ED83" w:rsidR="00F45A01" w:rsidRPr="00443B6F" w:rsidRDefault="00F45A01" w:rsidP="00443B6F">
            <w:pPr>
              <w:spacing w:line="276" w:lineRule="auto"/>
              <w:ind w:firstLine="0"/>
              <w:rPr>
                <w:lang w:val="hu-HU"/>
              </w:rPr>
            </w:pPr>
            <w:r w:rsidRPr="00443B6F">
              <w:rPr>
                <w:lang w:val="hu-HU"/>
              </w:rPr>
              <w:t xml:space="preserve">Kiss Adorján, </w:t>
            </w:r>
          </w:p>
          <w:p w14:paraId="208B1DE5" w14:textId="3C9DC3D0" w:rsidR="00F45A01" w:rsidRPr="00443B6F" w:rsidRDefault="00F45A01" w:rsidP="00443B6F">
            <w:pPr>
              <w:spacing w:line="276" w:lineRule="auto"/>
              <w:ind w:firstLine="0"/>
              <w:rPr>
                <w:lang w:val="hu-HU"/>
              </w:rPr>
            </w:pPr>
            <w:r w:rsidRPr="00443B6F">
              <w:rPr>
                <w:lang w:val="hu-HU"/>
              </w:rPr>
              <w:t>Szabó Zoltán László</w:t>
            </w:r>
          </w:p>
        </w:tc>
      </w:tr>
      <w:tr w:rsidR="00F45A01" w:rsidRPr="00443B6F" w14:paraId="69B948C3" w14:textId="77777777" w:rsidTr="00F45A01">
        <w:tc>
          <w:tcPr>
            <w:tcW w:w="1329" w:type="dxa"/>
          </w:tcPr>
          <w:p w14:paraId="7D1EB335" w14:textId="77777777" w:rsidR="00F45A01" w:rsidRPr="00443B6F" w:rsidRDefault="00F45A01" w:rsidP="00F45A01">
            <w:pPr>
              <w:spacing w:after="200" w:line="276" w:lineRule="auto"/>
              <w:ind w:firstLine="0"/>
              <w:rPr>
                <w:lang w:val="hu-HU"/>
              </w:rPr>
            </w:pPr>
          </w:p>
        </w:tc>
        <w:tc>
          <w:tcPr>
            <w:tcW w:w="1927" w:type="dxa"/>
          </w:tcPr>
          <w:p w14:paraId="1D3327FC" w14:textId="77777777" w:rsidR="00F45A01" w:rsidRPr="00443B6F" w:rsidRDefault="00F45A01" w:rsidP="00F45A01">
            <w:pPr>
              <w:spacing w:after="200" w:line="276" w:lineRule="auto"/>
              <w:ind w:firstLine="0"/>
              <w:rPr>
                <w:lang w:val="hu-HU"/>
              </w:rPr>
            </w:pPr>
          </w:p>
        </w:tc>
        <w:tc>
          <w:tcPr>
            <w:tcW w:w="3402" w:type="dxa"/>
          </w:tcPr>
          <w:p w14:paraId="1DCDFB15" w14:textId="0A30C21A" w:rsidR="00F45A01" w:rsidRPr="00443B6F" w:rsidRDefault="00F45A01" w:rsidP="00F45A01">
            <w:pPr>
              <w:spacing w:after="200" w:line="276" w:lineRule="auto"/>
              <w:ind w:firstLine="0"/>
              <w:rPr>
                <w:lang w:val="hu-HU"/>
              </w:rPr>
            </w:pPr>
          </w:p>
        </w:tc>
        <w:tc>
          <w:tcPr>
            <w:tcW w:w="2551" w:type="dxa"/>
          </w:tcPr>
          <w:p w14:paraId="02260DCE" w14:textId="77777777" w:rsidR="00F45A01" w:rsidRPr="00443B6F" w:rsidRDefault="00F45A01" w:rsidP="00F45A01">
            <w:pPr>
              <w:spacing w:after="200" w:line="276" w:lineRule="auto"/>
              <w:ind w:firstLine="0"/>
              <w:rPr>
                <w:lang w:val="hu-HU"/>
              </w:rPr>
            </w:pPr>
          </w:p>
        </w:tc>
      </w:tr>
    </w:tbl>
    <w:p w14:paraId="0CF559CF" w14:textId="4580156C" w:rsidR="004C7B43" w:rsidRDefault="004C7B43">
      <w:pPr>
        <w:spacing w:after="200" w:line="276" w:lineRule="auto"/>
        <w:ind w:firstLine="0"/>
        <w:rPr>
          <w:lang w:val="hu-HU"/>
        </w:rPr>
      </w:pPr>
      <w:r>
        <w:rPr>
          <w:lang w:val="hu-HU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val="hu-HU" w:eastAsia="en-US"/>
        </w:rPr>
        <w:id w:val="70698913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29E371" w14:textId="0CE3CEEE" w:rsidR="007A7847" w:rsidRPr="00443B6F" w:rsidRDefault="007A7847">
          <w:pPr>
            <w:pStyle w:val="TOCHeading"/>
            <w:rPr>
              <w:lang w:val="hu-HU"/>
            </w:rPr>
          </w:pPr>
          <w:r w:rsidRPr="00443B6F">
            <w:rPr>
              <w:lang w:val="hu-HU"/>
            </w:rPr>
            <w:t>Tartalom</w:t>
          </w:r>
        </w:p>
        <w:p w14:paraId="31BD7087" w14:textId="53FB7CAA" w:rsidR="00C101B7" w:rsidRDefault="007A7847">
          <w:pPr>
            <w:pStyle w:val="TOC3"/>
            <w:rPr>
              <w:rFonts w:asciiTheme="minorHAnsi" w:hAnsiTheme="minorHAnsi"/>
              <w:lang w:val="hu-HU" w:eastAsia="hu-HU"/>
            </w:rPr>
          </w:pPr>
          <w:r w:rsidRPr="00443B6F">
            <w:rPr>
              <w:sz w:val="20"/>
              <w:szCs w:val="20"/>
              <w:lang w:val="hu-HU"/>
            </w:rPr>
            <w:fldChar w:fldCharType="begin"/>
          </w:r>
          <w:r w:rsidRPr="00443B6F">
            <w:rPr>
              <w:sz w:val="20"/>
              <w:szCs w:val="20"/>
              <w:lang w:val="hu-HU"/>
            </w:rPr>
            <w:instrText xml:space="preserve"> TOC \o "1-3" \h \z \u </w:instrText>
          </w:r>
          <w:r w:rsidRPr="00443B6F">
            <w:rPr>
              <w:sz w:val="20"/>
              <w:szCs w:val="20"/>
              <w:lang w:val="hu-HU"/>
            </w:rPr>
            <w:fldChar w:fldCharType="separate"/>
          </w:r>
          <w:hyperlink w:anchor="_Toc91191777" w:history="1">
            <w:r w:rsidR="00C101B7" w:rsidRPr="005C3B5C">
              <w:rPr>
                <w:rStyle w:val="Hyperlink"/>
                <w:lang w:val="hu-HU"/>
              </w:rPr>
              <w:t>Jelölések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_Toc91191777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 w:rsidR="00C540E8">
              <w:rPr>
                <w:webHidden/>
              </w:rPr>
              <w:t>2</w:t>
            </w:r>
            <w:r w:rsidR="00C101B7">
              <w:rPr>
                <w:webHidden/>
              </w:rPr>
              <w:fldChar w:fldCharType="end"/>
            </w:r>
          </w:hyperlink>
        </w:p>
        <w:p w14:paraId="4B92BBAA" w14:textId="37505E70" w:rsidR="00C101B7" w:rsidRDefault="00C540E8">
          <w:pPr>
            <w:pStyle w:val="TOC3"/>
            <w:rPr>
              <w:rFonts w:asciiTheme="minorHAnsi" w:hAnsiTheme="minorHAnsi"/>
              <w:lang w:val="hu-HU" w:eastAsia="hu-HU"/>
            </w:rPr>
          </w:pPr>
          <w:hyperlink w:anchor="_Toc91191778" w:history="1">
            <w:r w:rsidR="00C101B7" w:rsidRPr="005C3B5C">
              <w:rPr>
                <w:rStyle w:val="Hyperlink"/>
                <w:lang w:val="hu-HU"/>
              </w:rPr>
              <w:t>Verziókövetés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_Toc91191778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C101B7">
              <w:rPr>
                <w:webHidden/>
              </w:rPr>
              <w:fldChar w:fldCharType="end"/>
            </w:r>
          </w:hyperlink>
        </w:p>
        <w:p w14:paraId="573653AE" w14:textId="403FD6EA" w:rsidR="00C101B7" w:rsidRDefault="00C540E8">
          <w:pPr>
            <w:pStyle w:val="TOC2"/>
            <w:tabs>
              <w:tab w:val="left" w:pos="1100"/>
            </w:tabs>
            <w:rPr>
              <w:rFonts w:asciiTheme="minorHAnsi" w:hAnsiTheme="minorHAnsi"/>
              <w:lang w:val="hu-HU" w:eastAsia="hu-HU"/>
            </w:rPr>
          </w:pPr>
          <w:hyperlink w:anchor="_Toc91191779" w:history="1">
            <w:r w:rsidR="00C101B7" w:rsidRPr="005C3B5C">
              <w:rPr>
                <w:rStyle w:val="Hyperlink"/>
                <w:lang w:val="hu-HU"/>
              </w:rPr>
              <w:t>1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Bevezető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_Toc91191779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C101B7">
              <w:rPr>
                <w:webHidden/>
              </w:rPr>
              <w:fldChar w:fldCharType="end"/>
            </w:r>
          </w:hyperlink>
        </w:p>
        <w:p w14:paraId="5A351BC4" w14:textId="545D4ACA" w:rsidR="00C101B7" w:rsidRDefault="00C540E8">
          <w:pPr>
            <w:pStyle w:val="TOC2"/>
            <w:tabs>
              <w:tab w:val="left" w:pos="1100"/>
            </w:tabs>
            <w:rPr>
              <w:rFonts w:asciiTheme="minorHAnsi" w:hAnsiTheme="minorHAnsi"/>
              <w:lang w:val="hu-HU" w:eastAsia="hu-HU"/>
            </w:rPr>
          </w:pPr>
          <w:hyperlink w:anchor="_Toc91191780" w:history="1">
            <w:r w:rsidR="00C101B7" w:rsidRPr="005C3B5C">
              <w:rPr>
                <w:rStyle w:val="Hyperlink"/>
                <w:lang w:val="hu-HU"/>
              </w:rPr>
              <w:t>2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Alapok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_Toc91191780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C101B7">
              <w:rPr>
                <w:webHidden/>
              </w:rPr>
              <w:fldChar w:fldCharType="end"/>
            </w:r>
          </w:hyperlink>
        </w:p>
        <w:p w14:paraId="42771B13" w14:textId="345A2C73" w:rsidR="00C101B7" w:rsidRDefault="00C540E8">
          <w:pPr>
            <w:pStyle w:val="TOC3"/>
            <w:tabs>
              <w:tab w:val="left" w:pos="1320"/>
            </w:tabs>
            <w:rPr>
              <w:rFonts w:asciiTheme="minorHAnsi" w:hAnsiTheme="minorHAnsi"/>
              <w:lang w:val="hu-HU" w:eastAsia="hu-HU"/>
            </w:rPr>
          </w:pPr>
          <w:hyperlink w:anchor="_Toc91191781" w:history="1">
            <w:r w:rsidR="00C101B7" w:rsidRPr="005C3B5C">
              <w:rPr>
                <w:rStyle w:val="Hyperlink"/>
                <w:lang w:val="hu-HU"/>
              </w:rPr>
              <w:t>2.1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A szabvány hatálya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_Toc91191781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C101B7">
              <w:rPr>
                <w:webHidden/>
              </w:rPr>
              <w:fldChar w:fldCharType="end"/>
            </w:r>
          </w:hyperlink>
        </w:p>
        <w:p w14:paraId="6E567ED1" w14:textId="69231DFD" w:rsidR="00C101B7" w:rsidRDefault="00C540E8">
          <w:pPr>
            <w:pStyle w:val="TOC3"/>
            <w:tabs>
              <w:tab w:val="left" w:pos="1320"/>
            </w:tabs>
            <w:rPr>
              <w:rFonts w:asciiTheme="minorHAnsi" w:hAnsiTheme="minorHAnsi"/>
              <w:lang w:val="hu-HU" w:eastAsia="hu-HU"/>
            </w:rPr>
          </w:pPr>
          <w:hyperlink w:anchor="_Toc91191782" w:history="1">
            <w:r w:rsidR="00C101B7" w:rsidRPr="005C3B5C">
              <w:rPr>
                <w:rStyle w:val="Hyperlink"/>
                <w:lang w:val="hu-HU"/>
              </w:rPr>
              <w:t>2.2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Mit tekinthetünk (viszont)biztosítási szerződésnek?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_Toc91191782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C101B7">
              <w:rPr>
                <w:webHidden/>
              </w:rPr>
              <w:fldChar w:fldCharType="end"/>
            </w:r>
          </w:hyperlink>
        </w:p>
        <w:p w14:paraId="074C0CBE" w14:textId="24222C6C" w:rsidR="00C101B7" w:rsidRDefault="00C540E8">
          <w:pPr>
            <w:pStyle w:val="TOC3"/>
            <w:tabs>
              <w:tab w:val="left" w:pos="1320"/>
            </w:tabs>
            <w:rPr>
              <w:rFonts w:asciiTheme="minorHAnsi" w:hAnsiTheme="minorHAnsi"/>
              <w:lang w:val="hu-HU" w:eastAsia="hu-HU"/>
            </w:rPr>
          </w:pPr>
          <w:hyperlink w:anchor="_Toc91191783" w:history="1">
            <w:r w:rsidR="00C101B7" w:rsidRPr="005C3B5C">
              <w:rPr>
                <w:rStyle w:val="Hyperlink"/>
                <w:lang w:val="hu-HU"/>
              </w:rPr>
              <w:t>2.3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Mikor és milyen szerződéselemeket kell szétválasztani és külön értékelni, mely szerződéseket lehet együtt kezelni?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_Toc91191783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C101B7">
              <w:rPr>
                <w:webHidden/>
              </w:rPr>
              <w:fldChar w:fldCharType="end"/>
            </w:r>
          </w:hyperlink>
        </w:p>
        <w:p w14:paraId="0B918F65" w14:textId="30487DD4" w:rsidR="00C101B7" w:rsidRDefault="00C540E8">
          <w:pPr>
            <w:pStyle w:val="TOC3"/>
            <w:tabs>
              <w:tab w:val="left" w:pos="1540"/>
            </w:tabs>
            <w:rPr>
              <w:rFonts w:asciiTheme="minorHAnsi" w:hAnsiTheme="minorHAnsi"/>
              <w:lang w:val="hu-HU" w:eastAsia="hu-HU"/>
            </w:rPr>
          </w:pPr>
          <w:hyperlink w:anchor="_Toc91191784" w:history="1">
            <w:r w:rsidR="00C101B7" w:rsidRPr="005C3B5C">
              <w:rPr>
                <w:rStyle w:val="Hyperlink"/>
                <w:lang w:val="hu-HU"/>
              </w:rPr>
              <w:t>2.3.1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Beágyazott derivatívák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_Toc91191784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 w:rsidR="00C101B7">
              <w:rPr>
                <w:webHidden/>
              </w:rPr>
              <w:fldChar w:fldCharType="end"/>
            </w:r>
          </w:hyperlink>
        </w:p>
        <w:p w14:paraId="6A36DC46" w14:textId="4A99E7C4" w:rsidR="00C101B7" w:rsidRDefault="00C540E8">
          <w:pPr>
            <w:pStyle w:val="TOC3"/>
            <w:tabs>
              <w:tab w:val="left" w:pos="1540"/>
            </w:tabs>
            <w:rPr>
              <w:rFonts w:asciiTheme="minorHAnsi" w:hAnsiTheme="minorHAnsi"/>
              <w:lang w:val="hu-HU" w:eastAsia="hu-HU"/>
            </w:rPr>
          </w:pPr>
          <w:hyperlink w:anchor="_Toc91191785" w:history="1">
            <w:r w:rsidR="00C101B7" w:rsidRPr="005C3B5C">
              <w:rPr>
                <w:rStyle w:val="Hyperlink"/>
                <w:lang w:val="hu-HU"/>
              </w:rPr>
              <w:t>2.3.2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Befektetési komponens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_Toc91191785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C101B7">
              <w:rPr>
                <w:webHidden/>
              </w:rPr>
              <w:fldChar w:fldCharType="end"/>
            </w:r>
          </w:hyperlink>
        </w:p>
        <w:p w14:paraId="55AD4750" w14:textId="47092504" w:rsidR="00C101B7" w:rsidRDefault="00C540E8">
          <w:pPr>
            <w:pStyle w:val="TOC3"/>
            <w:tabs>
              <w:tab w:val="left" w:pos="1540"/>
            </w:tabs>
            <w:rPr>
              <w:rFonts w:asciiTheme="minorHAnsi" w:hAnsiTheme="minorHAnsi"/>
              <w:lang w:val="hu-HU" w:eastAsia="hu-HU"/>
            </w:rPr>
          </w:pPr>
          <w:hyperlink w:anchor="_Toc91191786" w:history="1">
            <w:r w:rsidR="00C101B7" w:rsidRPr="005C3B5C">
              <w:rPr>
                <w:rStyle w:val="Hyperlink"/>
                <w:lang w:val="hu-HU"/>
              </w:rPr>
              <w:t>2.3.3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Teljesítési kötelem (performance obligation)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_Toc91191786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C101B7">
              <w:rPr>
                <w:webHidden/>
              </w:rPr>
              <w:fldChar w:fldCharType="end"/>
            </w:r>
          </w:hyperlink>
        </w:p>
        <w:p w14:paraId="7395B8C0" w14:textId="0FCB2013" w:rsidR="00C101B7" w:rsidRDefault="00C540E8">
          <w:pPr>
            <w:pStyle w:val="TOC3"/>
            <w:tabs>
              <w:tab w:val="left" w:pos="1540"/>
            </w:tabs>
            <w:rPr>
              <w:rFonts w:asciiTheme="minorHAnsi" w:hAnsiTheme="minorHAnsi"/>
              <w:lang w:val="hu-HU" w:eastAsia="hu-HU"/>
            </w:rPr>
          </w:pPr>
          <w:hyperlink w:anchor="_Toc91191787" w:history="1">
            <w:r w:rsidR="00C101B7" w:rsidRPr="005C3B5C">
              <w:rPr>
                <w:rStyle w:val="Hyperlink"/>
                <w:lang w:val="hu-HU"/>
              </w:rPr>
              <w:t>2.3.4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A szerződés határai (contract boundary)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_Toc91191787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C101B7">
              <w:rPr>
                <w:webHidden/>
              </w:rPr>
              <w:fldChar w:fldCharType="end"/>
            </w:r>
          </w:hyperlink>
        </w:p>
        <w:p w14:paraId="51DDA525" w14:textId="7F3D2D86" w:rsidR="00C101B7" w:rsidRDefault="00C540E8">
          <w:pPr>
            <w:pStyle w:val="TOC2"/>
            <w:tabs>
              <w:tab w:val="left" w:pos="1100"/>
            </w:tabs>
            <w:rPr>
              <w:rFonts w:asciiTheme="minorHAnsi" w:hAnsiTheme="minorHAnsi"/>
              <w:lang w:val="hu-HU" w:eastAsia="hu-HU"/>
            </w:rPr>
          </w:pPr>
          <w:hyperlink w:anchor="_Toc91191788" w:history="1">
            <w:r w:rsidR="00C101B7" w:rsidRPr="005C3B5C">
              <w:rPr>
                <w:rStyle w:val="Hyperlink"/>
                <w:lang w:val="hu-HU"/>
              </w:rPr>
              <w:t>3</w:t>
            </w:r>
            <w:r w:rsidR="00C101B7">
              <w:rPr>
                <w:rFonts w:asciiTheme="minorHAnsi" w:hAnsiTheme="minorHAnsi"/>
                <w:lang w:val="hu-HU" w:eastAsia="hu-HU"/>
              </w:rPr>
              <w:tab/>
            </w:r>
            <w:r w:rsidR="00C101B7" w:rsidRPr="005C3B5C">
              <w:rPr>
                <w:rStyle w:val="Hyperlink"/>
                <w:lang w:val="hu-HU"/>
              </w:rPr>
              <w:t>A szabvány fejezeteinek, témaköreinek javasolt felosztása, a feldolgozás rendszerezése</w:t>
            </w:r>
            <w:r w:rsidR="00C101B7">
              <w:rPr>
                <w:webHidden/>
              </w:rPr>
              <w:tab/>
            </w:r>
            <w:r w:rsidR="00C101B7">
              <w:rPr>
                <w:webHidden/>
              </w:rPr>
              <w:fldChar w:fldCharType="begin"/>
            </w:r>
            <w:r w:rsidR="00C101B7">
              <w:rPr>
                <w:webHidden/>
              </w:rPr>
              <w:instrText xml:space="preserve"> PAGEREF _Toc91191788 \h </w:instrText>
            </w:r>
            <w:r w:rsidR="00C101B7">
              <w:rPr>
                <w:webHidden/>
              </w:rPr>
            </w:r>
            <w:r w:rsidR="00C101B7"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 w:rsidR="00C101B7">
              <w:rPr>
                <w:webHidden/>
              </w:rPr>
              <w:fldChar w:fldCharType="end"/>
            </w:r>
          </w:hyperlink>
        </w:p>
        <w:p w14:paraId="0B0C264A" w14:textId="3F155EF9" w:rsidR="007A7847" w:rsidRPr="00443B6F" w:rsidRDefault="007A7847">
          <w:pPr>
            <w:rPr>
              <w:rFonts w:asciiTheme="majorHAnsi" w:hAnsiTheme="majorHAnsi"/>
              <w:lang w:val="hu-HU"/>
            </w:rPr>
          </w:pPr>
          <w:r w:rsidRPr="00443B6F">
            <w:rPr>
              <w:rFonts w:asciiTheme="majorHAnsi" w:hAnsiTheme="majorHAnsi"/>
              <w:b/>
              <w:bCs/>
              <w:noProof/>
              <w:sz w:val="20"/>
              <w:szCs w:val="20"/>
              <w:lang w:val="hu-HU"/>
            </w:rPr>
            <w:fldChar w:fldCharType="end"/>
          </w:r>
        </w:p>
      </w:sdtContent>
    </w:sdt>
    <w:p w14:paraId="6C25A40C" w14:textId="77777777" w:rsidR="007A7847" w:rsidRPr="00443B6F" w:rsidRDefault="007A7847">
      <w:pPr>
        <w:spacing w:after="200" w:line="276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hu-HU"/>
        </w:rPr>
      </w:pPr>
      <w:r w:rsidRPr="00443B6F">
        <w:rPr>
          <w:rFonts w:asciiTheme="majorHAnsi" w:hAnsiTheme="majorHAnsi"/>
          <w:lang w:val="hu-HU"/>
        </w:rPr>
        <w:br w:type="page"/>
      </w:r>
    </w:p>
    <w:p w14:paraId="7B133EEA" w14:textId="77777777" w:rsidR="00984801" w:rsidRPr="00443B6F" w:rsidRDefault="00984801" w:rsidP="00081C28">
      <w:pPr>
        <w:pStyle w:val="Heading2"/>
        <w:numPr>
          <w:ilvl w:val="0"/>
          <w:numId w:val="24"/>
        </w:numPr>
        <w:spacing w:before="240" w:after="240" w:line="276" w:lineRule="auto"/>
        <w:ind w:left="0" w:firstLine="0"/>
        <w:rPr>
          <w:bCs w:val="0"/>
          <w:color w:val="365F91" w:themeColor="accent1" w:themeShade="BF"/>
          <w:sz w:val="28"/>
          <w:lang w:val="hu-HU"/>
        </w:rPr>
      </w:pPr>
      <w:bookmarkStart w:id="2" w:name="_Toc91191779"/>
      <w:r w:rsidRPr="00443B6F">
        <w:rPr>
          <w:bCs w:val="0"/>
          <w:color w:val="365F91" w:themeColor="accent1" w:themeShade="BF"/>
          <w:sz w:val="28"/>
          <w:lang w:val="hu-HU"/>
        </w:rPr>
        <w:lastRenderedPageBreak/>
        <w:t>Bevezető</w:t>
      </w:r>
      <w:bookmarkEnd w:id="2"/>
    </w:p>
    <w:p w14:paraId="2C61A034" w14:textId="77777777" w:rsidR="00984801" w:rsidRPr="00443B6F" w:rsidRDefault="00984801" w:rsidP="00984801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384BB4D8" w14:textId="5E36BB4B" w:rsidR="00984801" w:rsidRPr="00443B6F" w:rsidRDefault="00984801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 Magyar </w:t>
      </w:r>
      <w:proofErr w:type="spellStart"/>
      <w:r w:rsidRPr="00443B6F">
        <w:rPr>
          <w:rFonts w:eastAsiaTheme="minorHAnsi" w:cstheme="minorHAnsi"/>
          <w:lang w:val="hu-HU"/>
        </w:rPr>
        <w:t>Aktuárius</w:t>
      </w:r>
      <w:proofErr w:type="spellEnd"/>
      <w:r w:rsidRPr="00443B6F">
        <w:rPr>
          <w:rFonts w:eastAsiaTheme="minorHAnsi" w:cstheme="minorHAnsi"/>
          <w:lang w:val="hu-HU"/>
        </w:rPr>
        <w:t xml:space="preserve"> Társaság</w:t>
      </w:r>
      <w:r w:rsidR="008B4D8B" w:rsidRPr="00443B6F">
        <w:rPr>
          <w:rFonts w:eastAsiaTheme="minorHAnsi" w:cstheme="minorHAnsi"/>
          <w:lang w:val="hu-HU"/>
        </w:rPr>
        <w:t xml:space="preserve"> (MAT)</w:t>
      </w:r>
      <w:r w:rsidRPr="00443B6F">
        <w:rPr>
          <w:rFonts w:eastAsiaTheme="minorHAnsi" w:cstheme="minorHAnsi"/>
          <w:lang w:val="hu-HU"/>
        </w:rPr>
        <w:t xml:space="preserve"> </w:t>
      </w:r>
      <w:r w:rsidR="00216D1E" w:rsidRPr="00443B6F">
        <w:rPr>
          <w:rFonts w:eastAsiaTheme="minorHAnsi" w:cstheme="minorHAnsi"/>
          <w:lang w:val="hu-HU"/>
        </w:rPr>
        <w:t>abból a</w:t>
      </w:r>
      <w:r w:rsidR="002276B8" w:rsidRPr="00443B6F">
        <w:rPr>
          <w:rFonts w:eastAsiaTheme="minorHAnsi" w:cstheme="minorHAnsi"/>
          <w:lang w:val="hu-HU"/>
        </w:rPr>
        <w:t xml:space="preserve"> </w:t>
      </w:r>
      <w:r w:rsidR="00216D1E" w:rsidRPr="00443B6F">
        <w:rPr>
          <w:rFonts w:eastAsiaTheme="minorHAnsi" w:cstheme="minorHAnsi"/>
          <w:lang w:val="hu-HU"/>
        </w:rPr>
        <w:t xml:space="preserve">célból hozta létre IFRS Munkacsoportját, hogy az az </w:t>
      </w:r>
      <w:r w:rsidRPr="00443B6F">
        <w:rPr>
          <w:rFonts w:eastAsiaTheme="minorHAnsi" w:cstheme="minorHAnsi"/>
          <w:lang w:val="hu-HU"/>
        </w:rPr>
        <w:t xml:space="preserve">IASB </w:t>
      </w:r>
      <w:r w:rsidR="0044206D" w:rsidRPr="00443B6F">
        <w:rPr>
          <w:rFonts w:eastAsiaTheme="minorHAnsi" w:cstheme="minorHAnsi"/>
          <w:lang w:val="hu-HU"/>
        </w:rPr>
        <w:t xml:space="preserve">(International Accounting </w:t>
      </w:r>
      <w:proofErr w:type="spellStart"/>
      <w:r w:rsidR="0044206D" w:rsidRPr="00443B6F">
        <w:rPr>
          <w:rFonts w:eastAsiaTheme="minorHAnsi" w:cstheme="minorHAnsi"/>
          <w:lang w:val="hu-HU"/>
        </w:rPr>
        <w:t>Standards</w:t>
      </w:r>
      <w:proofErr w:type="spellEnd"/>
      <w:r w:rsidR="0044206D" w:rsidRPr="00443B6F">
        <w:rPr>
          <w:rFonts w:eastAsiaTheme="minorHAnsi" w:cstheme="minorHAnsi"/>
          <w:lang w:val="hu-HU"/>
        </w:rPr>
        <w:t xml:space="preserve"> Board) </w:t>
      </w:r>
      <w:r w:rsidRPr="00443B6F">
        <w:rPr>
          <w:rFonts w:eastAsiaTheme="minorHAnsi" w:cstheme="minorHAnsi"/>
          <w:lang w:val="hu-HU"/>
        </w:rPr>
        <w:t>által 2013. júniusában közzétett szabvány-tervezetet</w:t>
      </w:r>
      <w:r w:rsidR="00917913" w:rsidRPr="00443B6F">
        <w:rPr>
          <w:rFonts w:eastAsiaTheme="minorHAnsi" w:cstheme="minorHAnsi"/>
          <w:lang w:val="hu-HU"/>
        </w:rPr>
        <w:footnoteReference w:id="1"/>
      </w:r>
      <w:r w:rsidR="00A87657" w:rsidRPr="00443B6F">
        <w:rPr>
          <w:rFonts w:eastAsiaTheme="minorHAnsi" w:cstheme="minorHAnsi"/>
          <w:lang w:val="hu-HU"/>
        </w:rPr>
        <w:t xml:space="preserve">, illetve </w:t>
      </w:r>
      <w:r w:rsidR="00440C9C" w:rsidRPr="00443B6F">
        <w:rPr>
          <w:rFonts w:eastAsiaTheme="minorHAnsi" w:cstheme="minorHAnsi"/>
          <w:lang w:val="hu-HU"/>
        </w:rPr>
        <w:t>minden későbbi, szintén az IASB által kibocsátott és kibocsátandó, a biztosítási szerződések elszámolásával kapcsolatos dokumentum</w:t>
      </w:r>
      <w:r w:rsidR="00216D1E" w:rsidRPr="00443B6F">
        <w:rPr>
          <w:rFonts w:eastAsiaTheme="minorHAnsi" w:cstheme="minorHAnsi"/>
          <w:lang w:val="hu-HU"/>
        </w:rPr>
        <w:t>ot</w:t>
      </w:r>
      <w:r w:rsidR="00440C9C" w:rsidRPr="00443B6F">
        <w:rPr>
          <w:rFonts w:eastAsiaTheme="minorHAnsi" w:cstheme="minorHAnsi"/>
          <w:lang w:val="hu-HU"/>
        </w:rPr>
        <w:t>, így</w:t>
      </w:r>
      <w:r w:rsidR="00216D1E" w:rsidRPr="00443B6F">
        <w:rPr>
          <w:rFonts w:eastAsiaTheme="minorHAnsi" w:cstheme="minorHAnsi"/>
          <w:lang w:val="hu-HU"/>
        </w:rPr>
        <w:t xml:space="preserve"> a</w:t>
      </w:r>
      <w:r w:rsidR="00A87657" w:rsidRPr="00443B6F">
        <w:rPr>
          <w:rFonts w:eastAsiaTheme="minorHAnsi" w:cstheme="minorHAnsi"/>
          <w:lang w:val="hu-HU"/>
        </w:rPr>
        <w:t xml:space="preserve"> 2017. májusában </w:t>
      </w:r>
      <w:r w:rsidR="00440C9C" w:rsidRPr="00443B6F">
        <w:rPr>
          <w:rFonts w:eastAsiaTheme="minorHAnsi" w:cstheme="minorHAnsi"/>
          <w:lang w:val="hu-HU"/>
        </w:rPr>
        <w:t>megjelent,</w:t>
      </w:r>
      <w:r w:rsidR="00A87657" w:rsidRPr="00443B6F">
        <w:rPr>
          <w:rFonts w:eastAsiaTheme="minorHAnsi" w:cstheme="minorHAnsi"/>
          <w:lang w:val="hu-HU"/>
        </w:rPr>
        <w:t xml:space="preserve"> a biztosítási szerződésekről szóló IFRS17-es szabványt</w:t>
      </w:r>
      <w:r w:rsidR="0044206D" w:rsidRPr="00443B6F">
        <w:rPr>
          <w:rFonts w:eastAsiaTheme="minorHAnsi" w:cstheme="minorHAnsi"/>
          <w:lang w:val="hu-HU"/>
        </w:rPr>
        <w:t xml:space="preserve"> </w:t>
      </w:r>
      <w:proofErr w:type="spellStart"/>
      <w:r w:rsidRPr="00443B6F">
        <w:rPr>
          <w:rFonts w:eastAsiaTheme="minorHAnsi" w:cstheme="minorHAnsi"/>
          <w:lang w:val="hu-HU"/>
        </w:rPr>
        <w:t>aktuárius</w:t>
      </w:r>
      <w:proofErr w:type="spellEnd"/>
      <w:r w:rsidRPr="00443B6F">
        <w:rPr>
          <w:rFonts w:eastAsiaTheme="minorHAnsi" w:cstheme="minorHAnsi"/>
          <w:lang w:val="hu-HU"/>
        </w:rPr>
        <w:t xml:space="preserve">-szakmai szempontból feldolgozza. A munka fókuszában azon területek állnak, amelyek várhatóan jelentős hatással lesznek a magyar </w:t>
      </w:r>
      <w:proofErr w:type="spellStart"/>
      <w:r w:rsidRPr="00443B6F">
        <w:rPr>
          <w:rFonts w:eastAsiaTheme="minorHAnsi" w:cstheme="minorHAnsi"/>
          <w:lang w:val="hu-HU"/>
        </w:rPr>
        <w:t>aktuáriusok</w:t>
      </w:r>
      <w:proofErr w:type="spellEnd"/>
      <w:r w:rsidRPr="00443B6F">
        <w:rPr>
          <w:rFonts w:eastAsiaTheme="minorHAnsi" w:cstheme="minorHAnsi"/>
          <w:lang w:val="hu-HU"/>
        </w:rPr>
        <w:t xml:space="preserve"> </w:t>
      </w:r>
      <w:r w:rsidR="00C34F85" w:rsidRPr="00443B6F">
        <w:rPr>
          <w:rFonts w:eastAsiaTheme="minorHAnsi" w:cstheme="minorHAnsi"/>
          <w:lang w:val="hu-HU"/>
        </w:rPr>
        <w:t>tevékenységére</w:t>
      </w:r>
      <w:r w:rsidRPr="00443B6F">
        <w:rPr>
          <w:rFonts w:eastAsiaTheme="minorHAnsi" w:cstheme="minorHAnsi"/>
          <w:lang w:val="hu-HU"/>
        </w:rPr>
        <w:t>.</w:t>
      </w:r>
    </w:p>
    <w:p w14:paraId="4B65A706" w14:textId="47C404AE" w:rsidR="00984801" w:rsidRPr="00443B6F" w:rsidRDefault="00984801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 munkacsoport </w:t>
      </w:r>
      <w:r w:rsidR="00440C9C" w:rsidRPr="00443B6F">
        <w:rPr>
          <w:rFonts w:eastAsiaTheme="minorHAnsi" w:cstheme="minorHAnsi"/>
          <w:lang w:val="hu-HU"/>
        </w:rPr>
        <w:t>a saját maga által meg</w:t>
      </w:r>
      <w:r w:rsidRPr="00443B6F">
        <w:rPr>
          <w:rFonts w:eastAsiaTheme="minorHAnsi" w:cstheme="minorHAnsi"/>
          <w:lang w:val="hu-HU"/>
        </w:rPr>
        <w:t xml:space="preserve">határozott tematikát követve </w:t>
      </w:r>
      <w:r w:rsidR="00216D1E" w:rsidRPr="00443B6F">
        <w:rPr>
          <w:rFonts w:eastAsiaTheme="minorHAnsi" w:cstheme="minorHAnsi"/>
          <w:lang w:val="hu-HU"/>
        </w:rPr>
        <w:t>t</w:t>
      </w:r>
      <w:r w:rsidR="00A87657" w:rsidRPr="00443B6F">
        <w:rPr>
          <w:rFonts w:eastAsiaTheme="minorHAnsi" w:cstheme="minorHAnsi"/>
          <w:lang w:val="hu-HU"/>
        </w:rPr>
        <w:t>árgyalta</w:t>
      </w:r>
      <w:r w:rsidRPr="00443B6F">
        <w:rPr>
          <w:rFonts w:eastAsiaTheme="minorHAnsi" w:cstheme="minorHAnsi"/>
          <w:lang w:val="hu-HU"/>
        </w:rPr>
        <w:t xml:space="preserve"> a szabvány</w:t>
      </w:r>
      <w:r w:rsidR="00216D1E" w:rsidRPr="00443B6F">
        <w:rPr>
          <w:rFonts w:eastAsiaTheme="minorHAnsi" w:cstheme="minorHAnsi"/>
          <w:lang w:val="hu-HU"/>
        </w:rPr>
        <w:t>t</w:t>
      </w:r>
      <w:r w:rsidR="0093608E" w:rsidRPr="00443B6F">
        <w:rPr>
          <w:rFonts w:eastAsiaTheme="minorHAnsi" w:cstheme="minorHAnsi"/>
          <w:lang w:val="hu-HU"/>
        </w:rPr>
        <w:t xml:space="preserve">. A </w:t>
      </w:r>
      <w:r w:rsidR="00364FF7" w:rsidRPr="00443B6F">
        <w:rPr>
          <w:rFonts w:eastAsiaTheme="minorHAnsi" w:cstheme="minorHAnsi"/>
          <w:lang w:val="hu-HU"/>
        </w:rPr>
        <w:t xml:space="preserve">szabvány lényegi mondanivalójával és gyakorlati alkalmazásával kapcsolatosan </w:t>
      </w:r>
      <w:r w:rsidR="0093608E" w:rsidRPr="00443B6F">
        <w:rPr>
          <w:rFonts w:eastAsiaTheme="minorHAnsi" w:cstheme="minorHAnsi"/>
          <w:lang w:val="hu-HU"/>
        </w:rPr>
        <w:t>megfogalmazott észrevételeket, véleményeket foglalja össze ez a dokumentum</w:t>
      </w:r>
      <w:r w:rsidR="00364FF7" w:rsidRPr="00443B6F">
        <w:rPr>
          <w:rFonts w:eastAsiaTheme="minorHAnsi" w:cstheme="minorHAnsi"/>
          <w:lang w:val="hu-HU"/>
        </w:rPr>
        <w:t xml:space="preserve">, </w:t>
      </w:r>
      <w:r w:rsidR="00A87657" w:rsidRPr="00443B6F">
        <w:rPr>
          <w:rFonts w:eastAsiaTheme="minorHAnsi" w:cstheme="minorHAnsi"/>
          <w:lang w:val="hu-HU"/>
        </w:rPr>
        <w:t xml:space="preserve">melyben </w:t>
      </w:r>
      <w:r w:rsidR="00364FF7" w:rsidRPr="00443B6F">
        <w:rPr>
          <w:rFonts w:eastAsiaTheme="minorHAnsi" w:cstheme="minorHAnsi"/>
          <w:lang w:val="hu-HU"/>
        </w:rPr>
        <w:t>gyakorlati példák</w:t>
      </w:r>
      <w:r w:rsidR="00A87657" w:rsidRPr="00443B6F">
        <w:rPr>
          <w:rFonts w:eastAsiaTheme="minorHAnsi" w:cstheme="minorHAnsi"/>
          <w:lang w:val="hu-HU"/>
        </w:rPr>
        <w:t xml:space="preserve"> </w:t>
      </w:r>
      <w:r w:rsidR="00364FF7" w:rsidRPr="00443B6F">
        <w:rPr>
          <w:rFonts w:eastAsiaTheme="minorHAnsi" w:cstheme="minorHAnsi"/>
          <w:lang w:val="hu-HU"/>
        </w:rPr>
        <w:t>illusztrál</w:t>
      </w:r>
      <w:r w:rsidR="00A87657" w:rsidRPr="00443B6F">
        <w:rPr>
          <w:rFonts w:eastAsiaTheme="minorHAnsi" w:cstheme="minorHAnsi"/>
          <w:lang w:val="hu-HU"/>
        </w:rPr>
        <w:t>ják</w:t>
      </w:r>
      <w:r w:rsidR="00364FF7" w:rsidRPr="00443B6F">
        <w:rPr>
          <w:rFonts w:eastAsiaTheme="minorHAnsi" w:cstheme="minorHAnsi"/>
          <w:lang w:val="hu-HU"/>
        </w:rPr>
        <w:t xml:space="preserve"> a felmerült kérdéseket, véleményeket.</w:t>
      </w:r>
    </w:p>
    <w:p w14:paraId="15C561E1" w14:textId="23F3C588" w:rsidR="00160D8A" w:rsidRPr="00443B6F" w:rsidRDefault="008B4D8B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Az IFRS szabványokhoz </w:t>
      </w:r>
      <w:r w:rsidR="00440C9C" w:rsidRPr="00443B6F">
        <w:rPr>
          <w:rFonts w:eastAsiaTheme="minorHAnsi" w:cstheme="minorHAnsi"/>
          <w:lang w:val="hu-HU"/>
        </w:rPr>
        <w:t xml:space="preserve">kapcsolódóan </w:t>
      </w:r>
      <w:r w:rsidRPr="00443B6F">
        <w:rPr>
          <w:rFonts w:eastAsiaTheme="minorHAnsi" w:cstheme="minorHAnsi"/>
          <w:lang w:val="hu-HU"/>
        </w:rPr>
        <w:t>kizárólag az arra felhatalmazott szervezetek bocsáthatnak ki értelmezési seg</w:t>
      </w:r>
      <w:r w:rsidR="00216D1E" w:rsidRPr="00443B6F">
        <w:rPr>
          <w:rFonts w:eastAsiaTheme="minorHAnsi" w:cstheme="minorHAnsi"/>
          <w:lang w:val="hu-HU"/>
        </w:rPr>
        <w:t>édletet, gyakorlati útmutatót. Sem a</w:t>
      </w:r>
      <w:r w:rsidRPr="00443B6F">
        <w:rPr>
          <w:rFonts w:eastAsiaTheme="minorHAnsi" w:cstheme="minorHAnsi"/>
          <w:lang w:val="hu-HU"/>
        </w:rPr>
        <w:t xml:space="preserve"> MAT</w:t>
      </w:r>
      <w:r w:rsidR="00216D1E" w:rsidRPr="00443B6F">
        <w:rPr>
          <w:rFonts w:eastAsiaTheme="minorHAnsi" w:cstheme="minorHAnsi"/>
          <w:lang w:val="hu-HU"/>
        </w:rPr>
        <w:t xml:space="preserve">, sem pedig az általa létrehozott munkacsoport nem rendelkezik </w:t>
      </w:r>
      <w:r w:rsidRPr="00443B6F">
        <w:rPr>
          <w:rFonts w:eastAsiaTheme="minorHAnsi" w:cstheme="minorHAnsi"/>
          <w:lang w:val="hu-HU"/>
        </w:rPr>
        <w:t xml:space="preserve">ilyen jogosítvánnyal, ezért az IFRS </w:t>
      </w:r>
      <w:r w:rsidR="0044206D" w:rsidRPr="00443B6F">
        <w:rPr>
          <w:rFonts w:eastAsiaTheme="minorHAnsi" w:cstheme="minorHAnsi"/>
          <w:lang w:val="hu-HU"/>
        </w:rPr>
        <w:t>szabvány</w:t>
      </w:r>
      <w:r w:rsidRPr="00443B6F">
        <w:rPr>
          <w:rFonts w:eastAsiaTheme="minorHAnsi" w:cstheme="minorHAnsi"/>
          <w:lang w:val="hu-HU"/>
        </w:rPr>
        <w:t xml:space="preserve"> gyakorlati alkalmazásá</w:t>
      </w:r>
      <w:r w:rsidR="00160D8A" w:rsidRPr="00443B6F">
        <w:rPr>
          <w:rFonts w:eastAsiaTheme="minorHAnsi" w:cstheme="minorHAnsi"/>
          <w:lang w:val="hu-HU"/>
        </w:rPr>
        <w:t xml:space="preserve">nak alátámasztására </w:t>
      </w:r>
      <w:r w:rsidRPr="00443B6F">
        <w:rPr>
          <w:rFonts w:eastAsiaTheme="minorHAnsi" w:cstheme="minorHAnsi"/>
          <w:lang w:val="hu-HU"/>
        </w:rPr>
        <w:t>a dokumentumban megfogalmazott észrevételek</w:t>
      </w:r>
      <w:r w:rsidR="00160D8A" w:rsidRPr="00443B6F">
        <w:rPr>
          <w:rFonts w:eastAsiaTheme="minorHAnsi" w:cstheme="minorHAnsi"/>
          <w:lang w:val="hu-HU"/>
        </w:rPr>
        <w:t>re</w:t>
      </w:r>
      <w:r w:rsidRPr="00443B6F">
        <w:rPr>
          <w:rFonts w:eastAsiaTheme="minorHAnsi" w:cstheme="minorHAnsi"/>
          <w:lang w:val="hu-HU"/>
        </w:rPr>
        <w:t>, vélemények</w:t>
      </w:r>
      <w:r w:rsidR="00160D8A" w:rsidRPr="00443B6F">
        <w:rPr>
          <w:rFonts w:eastAsiaTheme="minorHAnsi" w:cstheme="minorHAnsi"/>
          <w:lang w:val="hu-HU"/>
        </w:rPr>
        <w:t>re sem a tagság</w:t>
      </w:r>
      <w:r w:rsidR="00216D1E" w:rsidRPr="00443B6F">
        <w:rPr>
          <w:rFonts w:eastAsiaTheme="minorHAnsi" w:cstheme="minorHAnsi"/>
          <w:lang w:val="hu-HU"/>
        </w:rPr>
        <w:t>,</w:t>
      </w:r>
      <w:r w:rsidR="00160D8A" w:rsidRPr="00443B6F">
        <w:rPr>
          <w:rFonts w:eastAsiaTheme="minorHAnsi" w:cstheme="minorHAnsi"/>
          <w:lang w:val="hu-HU"/>
        </w:rPr>
        <w:t xml:space="preserve"> sem más </w:t>
      </w:r>
      <w:r w:rsidR="00DE049F" w:rsidRPr="00443B6F">
        <w:rPr>
          <w:rFonts w:eastAsiaTheme="minorHAnsi" w:cstheme="minorHAnsi"/>
          <w:lang w:val="hu-HU"/>
        </w:rPr>
        <w:t>felhasználók</w:t>
      </w:r>
      <w:r w:rsidRPr="00443B6F">
        <w:rPr>
          <w:rFonts w:eastAsiaTheme="minorHAnsi" w:cstheme="minorHAnsi"/>
          <w:lang w:val="hu-HU"/>
        </w:rPr>
        <w:t xml:space="preserve"> </w:t>
      </w:r>
      <w:r w:rsidR="00160D8A" w:rsidRPr="00443B6F">
        <w:rPr>
          <w:rFonts w:eastAsiaTheme="minorHAnsi" w:cstheme="minorHAnsi"/>
          <w:lang w:val="hu-HU"/>
        </w:rPr>
        <w:t>nem hivatkozhatnak</w:t>
      </w:r>
      <w:r w:rsidR="002276B8" w:rsidRPr="00443B6F">
        <w:rPr>
          <w:rFonts w:eastAsiaTheme="minorHAnsi" w:cstheme="minorHAnsi"/>
          <w:lang w:val="hu-HU"/>
        </w:rPr>
        <w:t xml:space="preserve"> a szabvány értelmezéseként</w:t>
      </w:r>
      <w:r w:rsidR="00160D8A" w:rsidRPr="00443B6F">
        <w:rPr>
          <w:rFonts w:eastAsiaTheme="minorHAnsi" w:cstheme="minorHAnsi"/>
          <w:lang w:val="hu-HU"/>
        </w:rPr>
        <w:t>, azt semmilyen módon nem tekinthetik alkalmazási segédletnek.</w:t>
      </w:r>
      <w:r w:rsidR="00A55869" w:rsidRPr="00443B6F">
        <w:rPr>
          <w:rFonts w:eastAsiaTheme="minorHAnsi" w:cstheme="minorHAnsi"/>
          <w:lang w:val="hu-HU"/>
        </w:rPr>
        <w:t xml:space="preserve"> A dokumentum oktatási anyag</w:t>
      </w:r>
      <w:r w:rsidR="00216D1E" w:rsidRPr="00443B6F">
        <w:rPr>
          <w:rFonts w:eastAsiaTheme="minorHAnsi" w:cstheme="minorHAnsi"/>
          <w:lang w:val="hu-HU"/>
        </w:rPr>
        <w:t xml:space="preserve">nak tekintendő, melyet a </w:t>
      </w:r>
      <w:proofErr w:type="gramStart"/>
      <w:r w:rsidR="00A55869" w:rsidRPr="00443B6F">
        <w:rPr>
          <w:rFonts w:eastAsiaTheme="minorHAnsi" w:cstheme="minorHAnsi"/>
          <w:lang w:val="hu-HU"/>
        </w:rPr>
        <w:t>szabvánnyal</w:t>
      </w:r>
      <w:proofErr w:type="gramEnd"/>
      <w:r w:rsidR="00A55869" w:rsidRPr="00443B6F">
        <w:rPr>
          <w:rFonts w:eastAsiaTheme="minorHAnsi" w:cstheme="minorHAnsi"/>
          <w:lang w:val="hu-HU"/>
        </w:rPr>
        <w:t xml:space="preserve"> </w:t>
      </w:r>
      <w:r w:rsidR="002276B8" w:rsidRPr="00443B6F">
        <w:rPr>
          <w:rFonts w:eastAsiaTheme="minorHAnsi" w:cstheme="minorHAnsi"/>
          <w:lang w:val="hu-HU"/>
        </w:rPr>
        <w:t>illetve a kapcsolódó releváns dokumentumokkal</w:t>
      </w:r>
      <w:r w:rsidR="002276B8" w:rsidRPr="00443B6F">
        <w:rPr>
          <w:rFonts w:eastAsiaTheme="minorHAnsi" w:cstheme="minorHAnsi"/>
          <w:lang w:val="hu-HU"/>
        </w:rPr>
        <w:footnoteReference w:id="2"/>
      </w:r>
      <w:r w:rsidR="002276B8" w:rsidRPr="00443B6F">
        <w:rPr>
          <w:rFonts w:eastAsiaTheme="minorHAnsi" w:cstheme="minorHAnsi"/>
          <w:lang w:val="hu-HU"/>
        </w:rPr>
        <w:t xml:space="preserve"> </w:t>
      </w:r>
      <w:r w:rsidR="00A55869" w:rsidRPr="00443B6F">
        <w:rPr>
          <w:rFonts w:eastAsiaTheme="minorHAnsi" w:cstheme="minorHAnsi"/>
          <w:lang w:val="hu-HU"/>
        </w:rPr>
        <w:t>együtt javasl</w:t>
      </w:r>
      <w:r w:rsidR="007935B3" w:rsidRPr="00443B6F">
        <w:rPr>
          <w:rFonts w:eastAsiaTheme="minorHAnsi" w:cstheme="minorHAnsi"/>
          <w:lang w:val="hu-HU"/>
        </w:rPr>
        <w:t>u</w:t>
      </w:r>
      <w:r w:rsidR="00FB3A9F" w:rsidRPr="00443B6F">
        <w:rPr>
          <w:rFonts w:eastAsiaTheme="minorHAnsi" w:cstheme="minorHAnsi"/>
          <w:lang w:val="hu-HU"/>
        </w:rPr>
        <w:t>n</w:t>
      </w:r>
      <w:r w:rsidR="007935B3" w:rsidRPr="00443B6F">
        <w:rPr>
          <w:rFonts w:eastAsiaTheme="minorHAnsi" w:cstheme="minorHAnsi"/>
          <w:lang w:val="hu-HU"/>
        </w:rPr>
        <w:t>k</w:t>
      </w:r>
      <w:r w:rsidR="00A55869" w:rsidRPr="00443B6F">
        <w:rPr>
          <w:rFonts w:eastAsiaTheme="minorHAnsi" w:cstheme="minorHAnsi"/>
          <w:lang w:val="hu-HU"/>
        </w:rPr>
        <w:t xml:space="preserve"> használni.</w:t>
      </w:r>
      <w:r w:rsidR="002276B8" w:rsidRPr="00443B6F">
        <w:rPr>
          <w:rFonts w:eastAsiaTheme="minorHAnsi" w:cstheme="minorHAnsi"/>
          <w:lang w:val="hu-HU"/>
        </w:rPr>
        <w:t xml:space="preserve"> A munkacsoport ezt a dokumentumot egy élő és folyamatosan változó dokumentumnak tekinti, amely a szabvány esetleges változásai, a szabványhoz kapcsolódó egyéb releváns dokumentumok megjelenése fényében változhat. A dokumentum változatainak követhetősége érdekében a munkacsoport valamennyi, a MAT honlapjára kikerülő </w:t>
      </w:r>
      <w:r w:rsidR="0043045C" w:rsidRPr="00443B6F">
        <w:rPr>
          <w:rFonts w:eastAsiaTheme="minorHAnsi" w:cstheme="minorHAnsi"/>
          <w:lang w:val="hu-HU"/>
        </w:rPr>
        <w:t xml:space="preserve">változatot </w:t>
      </w:r>
      <w:r w:rsidR="002276B8" w:rsidRPr="00443B6F">
        <w:rPr>
          <w:rFonts w:eastAsiaTheme="minorHAnsi" w:cstheme="minorHAnsi"/>
          <w:lang w:val="hu-HU"/>
        </w:rPr>
        <w:t>verziószámmal és dátummal lát el.</w:t>
      </w:r>
    </w:p>
    <w:p w14:paraId="5048C044" w14:textId="77777777" w:rsidR="00364FF7" w:rsidRPr="00443B6F" w:rsidRDefault="00364FF7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1204CE24" w14:textId="77777777" w:rsidR="003461EC" w:rsidRPr="00443B6F" w:rsidRDefault="00364FF7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Az összefoglaló az </w:t>
      </w:r>
      <w:r w:rsidR="006D36DA" w:rsidRPr="00443B6F">
        <w:rPr>
          <w:rFonts w:eastAsiaTheme="minorHAnsi" w:cstheme="minorHAnsi"/>
          <w:lang w:val="hu-HU"/>
        </w:rPr>
        <w:t xml:space="preserve">alapokkal indul, ami a szerződések besorolásának szempontjait, a szerződések </w:t>
      </w:r>
      <w:proofErr w:type="gramStart"/>
      <w:r w:rsidR="006D36DA" w:rsidRPr="00443B6F">
        <w:rPr>
          <w:rFonts w:eastAsiaTheme="minorHAnsi" w:cstheme="minorHAnsi"/>
          <w:lang w:val="hu-HU"/>
        </w:rPr>
        <w:t>kombinációjára</w:t>
      </w:r>
      <w:proofErr w:type="gramEnd"/>
      <w:r w:rsidR="006D36DA" w:rsidRPr="00443B6F">
        <w:rPr>
          <w:rFonts w:eastAsiaTheme="minorHAnsi" w:cstheme="minorHAnsi"/>
          <w:lang w:val="hu-HU"/>
        </w:rPr>
        <w:t xml:space="preserve"> illetve az egyes szerződéselemek szétválasztására vonatkozó elveket tekinti át. Ez a rész foglalkozik </w:t>
      </w:r>
      <w:r w:rsidR="006D36DA" w:rsidRPr="00443B6F">
        <w:rPr>
          <w:rStyle w:val="ElnevezsChar"/>
          <w:bCs/>
          <w:iCs/>
          <w:lang w:val="hu-HU"/>
        </w:rPr>
        <w:t xml:space="preserve">a szerződések határaival </w:t>
      </w:r>
      <w:r w:rsidR="006D36DA" w:rsidRPr="00443B6F">
        <w:rPr>
          <w:rFonts w:eastAsiaTheme="minorHAnsi" w:cstheme="minorHAnsi"/>
          <w:lang w:val="hu-HU"/>
        </w:rPr>
        <w:t xml:space="preserve">kapcsolatos </w:t>
      </w:r>
      <w:r w:rsidR="003461EC" w:rsidRPr="00443B6F">
        <w:rPr>
          <w:rFonts w:eastAsiaTheme="minorHAnsi" w:cstheme="minorHAnsi"/>
          <w:lang w:val="hu-HU"/>
        </w:rPr>
        <w:t>szabályokkal is.</w:t>
      </w:r>
    </w:p>
    <w:p w14:paraId="059BCF98" w14:textId="77777777" w:rsidR="00D76CA3" w:rsidRPr="00443B6F" w:rsidRDefault="00D76CA3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5D6501F5" w14:textId="1418489A" w:rsidR="003461EC" w:rsidRPr="00443B6F" w:rsidRDefault="003461EC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 második </w:t>
      </w:r>
      <w:r w:rsidR="00216D1E" w:rsidRPr="00443B6F">
        <w:rPr>
          <w:rFonts w:eastAsiaTheme="minorHAnsi" w:cstheme="minorHAnsi"/>
          <w:lang w:val="hu-HU"/>
        </w:rPr>
        <w:t>fejezet</w:t>
      </w:r>
      <w:r w:rsidRPr="00443B6F">
        <w:rPr>
          <w:rFonts w:eastAsiaTheme="minorHAnsi" w:cstheme="minorHAnsi"/>
          <w:lang w:val="hu-HU"/>
        </w:rPr>
        <w:t xml:space="preserve"> </w:t>
      </w:r>
      <w:r w:rsidRPr="00443B6F">
        <w:rPr>
          <w:rStyle w:val="ElnevezsChar"/>
          <w:bCs/>
          <w:iCs/>
          <w:lang w:val="hu-HU"/>
        </w:rPr>
        <w:t xml:space="preserve">a biztosítási szerződésekből eredő kötelezettségek </w:t>
      </w:r>
      <w:r w:rsidR="00216D1E" w:rsidRPr="00443B6F">
        <w:rPr>
          <w:rStyle w:val="ElnevezsChar"/>
          <w:bCs/>
          <w:iCs/>
          <w:lang w:val="hu-HU"/>
        </w:rPr>
        <w:t xml:space="preserve">kezdeti </w:t>
      </w:r>
      <w:r w:rsidRPr="00443B6F">
        <w:rPr>
          <w:rStyle w:val="ElnevezsChar"/>
          <w:bCs/>
          <w:iCs/>
          <w:lang w:val="hu-HU"/>
        </w:rPr>
        <w:t>értékelését</w:t>
      </w:r>
      <w:r w:rsidRPr="00443B6F">
        <w:rPr>
          <w:rFonts w:eastAsiaTheme="minorHAnsi" w:cstheme="minorHAnsi"/>
          <w:lang w:val="hu-HU"/>
        </w:rPr>
        <w:t xml:space="preserve"> dolgozza fel</w:t>
      </w:r>
      <w:r w:rsidR="00857724" w:rsidRPr="00443B6F">
        <w:rPr>
          <w:rFonts w:eastAsiaTheme="minorHAnsi" w:cstheme="minorHAnsi"/>
          <w:lang w:val="hu-HU"/>
        </w:rPr>
        <w:t>,</w:t>
      </w:r>
      <w:r w:rsidRPr="00443B6F">
        <w:rPr>
          <w:rFonts w:eastAsiaTheme="minorHAnsi" w:cstheme="minorHAnsi"/>
          <w:lang w:val="hu-HU"/>
        </w:rPr>
        <w:t xml:space="preserve"> példákon keresztül il</w:t>
      </w:r>
      <w:r w:rsidR="00507591" w:rsidRPr="00443B6F">
        <w:rPr>
          <w:rFonts w:eastAsiaTheme="minorHAnsi" w:cstheme="minorHAnsi"/>
          <w:lang w:val="hu-HU"/>
        </w:rPr>
        <w:t>lusztrálva azt. Kitér továbbá a</w:t>
      </w:r>
      <w:r w:rsidRPr="00443B6F">
        <w:rPr>
          <w:rFonts w:eastAsiaTheme="minorHAnsi" w:cstheme="minorHAnsi"/>
          <w:lang w:val="hu-HU"/>
        </w:rPr>
        <w:t xml:space="preserve"> gyakorlati megvalósításnál kritikus szempontokra</w:t>
      </w:r>
      <w:r w:rsidR="00507591" w:rsidRPr="00443B6F">
        <w:rPr>
          <w:rFonts w:eastAsiaTheme="minorHAnsi" w:cstheme="minorHAnsi"/>
          <w:lang w:val="hu-HU"/>
        </w:rPr>
        <w:t>,</w:t>
      </w:r>
      <w:r w:rsidRPr="00443B6F">
        <w:rPr>
          <w:rFonts w:eastAsiaTheme="minorHAnsi" w:cstheme="minorHAnsi"/>
          <w:lang w:val="hu-HU"/>
        </w:rPr>
        <w:t xml:space="preserve"> modellezési kérdések</w:t>
      </w:r>
      <w:r w:rsidR="00507591" w:rsidRPr="00443B6F">
        <w:rPr>
          <w:rFonts w:eastAsiaTheme="minorHAnsi" w:cstheme="minorHAnsi"/>
          <w:lang w:val="hu-HU"/>
        </w:rPr>
        <w:t>re is.</w:t>
      </w:r>
    </w:p>
    <w:p w14:paraId="4577B75C" w14:textId="77777777" w:rsidR="00D76CA3" w:rsidRPr="00443B6F" w:rsidRDefault="00D76CA3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07090DC4" w14:textId="77777777" w:rsidR="00364FF7" w:rsidRPr="00443B6F" w:rsidRDefault="00507591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>A</w:t>
      </w:r>
      <w:r w:rsidR="003461EC" w:rsidRPr="00443B6F">
        <w:rPr>
          <w:rFonts w:eastAsiaTheme="minorHAnsi" w:cstheme="minorHAnsi"/>
          <w:lang w:val="hu-HU"/>
        </w:rPr>
        <w:t xml:space="preserve"> kötelezettség értékét nemcsak egy adott időpontban kell meghatározni, annak időszak alatti változását is be kell mutatni</w:t>
      </w:r>
      <w:r w:rsidRPr="00443B6F">
        <w:rPr>
          <w:rFonts w:eastAsiaTheme="minorHAnsi" w:cstheme="minorHAnsi"/>
          <w:lang w:val="hu-HU"/>
        </w:rPr>
        <w:t>.</w:t>
      </w:r>
      <w:r w:rsidR="003461EC" w:rsidRPr="00443B6F">
        <w:rPr>
          <w:rFonts w:eastAsiaTheme="minorHAnsi" w:cstheme="minorHAnsi"/>
          <w:lang w:val="hu-HU"/>
        </w:rPr>
        <w:t xml:space="preserve"> </w:t>
      </w:r>
      <w:r w:rsidRPr="00443B6F">
        <w:rPr>
          <w:rFonts w:eastAsiaTheme="minorHAnsi" w:cstheme="minorHAnsi"/>
          <w:lang w:val="hu-HU"/>
        </w:rPr>
        <w:t>A</w:t>
      </w:r>
      <w:r w:rsidR="003461EC" w:rsidRPr="00443B6F">
        <w:rPr>
          <w:rFonts w:eastAsiaTheme="minorHAnsi" w:cstheme="minorHAnsi"/>
          <w:lang w:val="hu-HU"/>
        </w:rPr>
        <w:t xml:space="preserve"> </w:t>
      </w:r>
      <w:r w:rsidR="003461EC" w:rsidRPr="00443B6F">
        <w:rPr>
          <w:rFonts w:eastAsiaTheme="minorHAnsi"/>
          <w:lang w:val="hu-HU"/>
        </w:rPr>
        <w:t>szerződésekből eredő bevételek és költségek elszámolási szabályait</w:t>
      </w:r>
      <w:r w:rsidR="003461EC" w:rsidRPr="00443B6F">
        <w:rPr>
          <w:rFonts w:eastAsiaTheme="minorHAnsi" w:cstheme="minorHAnsi"/>
          <w:lang w:val="hu-HU"/>
        </w:rPr>
        <w:t xml:space="preserve"> is ismerni kell ahhoz, hogy az eredményt meg tudjuk állapítani. Ez</w:t>
      </w:r>
      <w:r w:rsidRPr="00443B6F">
        <w:rPr>
          <w:rFonts w:eastAsiaTheme="minorHAnsi" w:cstheme="minorHAnsi"/>
          <w:lang w:val="hu-HU"/>
        </w:rPr>
        <w:t xml:space="preserve">eket </w:t>
      </w:r>
      <w:r w:rsidR="003461EC" w:rsidRPr="00443B6F">
        <w:rPr>
          <w:rFonts w:eastAsiaTheme="minorHAnsi" w:cstheme="minorHAnsi"/>
          <w:lang w:val="hu-HU"/>
        </w:rPr>
        <w:t xml:space="preserve">írja le a harmadik </w:t>
      </w:r>
      <w:r w:rsidR="008A27CA" w:rsidRPr="00443B6F">
        <w:rPr>
          <w:rFonts w:eastAsiaTheme="minorHAnsi" w:cstheme="minorHAnsi"/>
          <w:lang w:val="hu-HU"/>
        </w:rPr>
        <w:t>fejezet</w:t>
      </w:r>
      <w:r w:rsidR="003461EC" w:rsidRPr="00443B6F">
        <w:rPr>
          <w:rFonts w:eastAsiaTheme="minorHAnsi" w:cstheme="minorHAnsi"/>
          <w:lang w:val="hu-HU"/>
        </w:rPr>
        <w:t>.</w:t>
      </w:r>
    </w:p>
    <w:p w14:paraId="1CC226A8" w14:textId="77777777" w:rsidR="00D76CA3" w:rsidRPr="00443B6F" w:rsidRDefault="00D76CA3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0161D20D" w14:textId="2972F06E" w:rsidR="003461EC" w:rsidRPr="00443B6F" w:rsidRDefault="003461EC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lastRenderedPageBreak/>
        <w:t xml:space="preserve">A szabvány külön foglalkozik bizonyos speciális esetekkel, melyek a negyedik </w:t>
      </w:r>
      <w:r w:rsidR="008A27CA" w:rsidRPr="00443B6F">
        <w:rPr>
          <w:rFonts w:eastAsiaTheme="minorHAnsi" w:cstheme="minorHAnsi"/>
          <w:lang w:val="hu-HU"/>
        </w:rPr>
        <w:t>fejezet</w:t>
      </w:r>
      <w:r w:rsidRPr="00443B6F">
        <w:rPr>
          <w:rFonts w:eastAsiaTheme="minorHAnsi" w:cstheme="minorHAnsi"/>
          <w:lang w:val="hu-HU"/>
        </w:rPr>
        <w:t xml:space="preserve">ben </w:t>
      </w:r>
      <w:r w:rsidR="00231B6B" w:rsidRPr="00443B6F">
        <w:rPr>
          <w:rFonts w:eastAsiaTheme="minorHAnsi" w:cstheme="minorHAnsi"/>
          <w:lang w:val="hu-HU"/>
        </w:rPr>
        <w:t>kerülnek bemutatásra</w:t>
      </w:r>
      <w:r w:rsidRPr="00443B6F">
        <w:rPr>
          <w:rFonts w:eastAsiaTheme="minorHAnsi" w:cstheme="minorHAnsi"/>
          <w:lang w:val="hu-HU"/>
        </w:rPr>
        <w:t>.</w:t>
      </w:r>
    </w:p>
    <w:p w14:paraId="5F51B387" w14:textId="0807C107" w:rsidR="00D76CA3" w:rsidRPr="00443B6F" w:rsidRDefault="00A87657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ab/>
      </w:r>
    </w:p>
    <w:p w14:paraId="20C3F8E4" w14:textId="2F6C3B3B" w:rsidR="00364FF7" w:rsidRPr="00443B6F" w:rsidRDefault="003461EC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Az utolsó három fejezet foglalkozik a </w:t>
      </w:r>
      <w:r w:rsidRPr="00443B6F">
        <w:rPr>
          <w:rStyle w:val="ElnevezsChar"/>
          <w:bCs/>
          <w:iCs/>
          <w:lang w:val="hu-HU"/>
        </w:rPr>
        <w:t>közzététellel</w:t>
      </w:r>
      <w:r w:rsidRPr="00443B6F">
        <w:rPr>
          <w:rFonts w:eastAsiaTheme="minorHAnsi" w:cstheme="minorHAnsi"/>
          <w:lang w:val="hu-HU"/>
        </w:rPr>
        <w:t xml:space="preserve">, a </w:t>
      </w:r>
      <w:r w:rsidRPr="00443B6F">
        <w:rPr>
          <w:rStyle w:val="ElnevezsChar"/>
          <w:bCs/>
          <w:iCs/>
          <w:lang w:val="hu-HU"/>
        </w:rPr>
        <w:t>szerződések módosításának, kivezetésé</w:t>
      </w:r>
      <w:r w:rsidRPr="00443B6F">
        <w:rPr>
          <w:rFonts w:eastAsiaTheme="minorHAnsi" w:cstheme="minorHAnsi"/>
          <w:lang w:val="hu-HU"/>
        </w:rPr>
        <w:t>nek kérdéseivel</w:t>
      </w:r>
      <w:r w:rsidR="00440C9C" w:rsidRPr="00443B6F">
        <w:rPr>
          <w:rFonts w:eastAsiaTheme="minorHAnsi" w:cstheme="minorHAnsi"/>
          <w:lang w:val="hu-HU"/>
        </w:rPr>
        <w:t>,</w:t>
      </w:r>
      <w:r w:rsidRPr="00443B6F">
        <w:rPr>
          <w:rFonts w:eastAsiaTheme="minorHAnsi" w:cstheme="minorHAnsi"/>
          <w:lang w:val="hu-HU"/>
        </w:rPr>
        <w:t xml:space="preserve"> valamint azzal, hogyan kell </w:t>
      </w:r>
      <w:r w:rsidRPr="00443B6F">
        <w:rPr>
          <w:rStyle w:val="ElnevezsChar"/>
          <w:bCs/>
          <w:iCs/>
          <w:lang w:val="hu-HU"/>
        </w:rPr>
        <w:t xml:space="preserve">áttérni </w:t>
      </w:r>
      <w:r w:rsidRPr="00443B6F">
        <w:rPr>
          <w:rFonts w:eastAsiaTheme="minorHAnsi" w:cstheme="minorHAnsi"/>
          <w:lang w:val="hu-HU"/>
        </w:rPr>
        <w:t>a jelenlegi elszámolásokról az új szabvány szerinti elszámolásra.</w:t>
      </w:r>
    </w:p>
    <w:p w14:paraId="19301734" w14:textId="77777777" w:rsidR="003461EC" w:rsidRPr="00443B6F" w:rsidRDefault="003461EC" w:rsidP="003D6468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3DEA0251" w14:textId="32A5EBFC" w:rsidR="00C34F85" w:rsidRPr="00443B6F" w:rsidRDefault="00247603" w:rsidP="007D22D0">
      <w:pPr>
        <w:spacing w:after="120" w:line="276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hu-HU"/>
        </w:rPr>
      </w:pPr>
      <w:r w:rsidRPr="00443B6F">
        <w:rPr>
          <w:rFonts w:eastAsiaTheme="minorHAnsi" w:cstheme="minorHAnsi"/>
          <w:lang w:val="hu-HU"/>
        </w:rPr>
        <w:t>Bízunk benne</w:t>
      </w:r>
      <w:r w:rsidR="003461EC" w:rsidRPr="00443B6F">
        <w:rPr>
          <w:rFonts w:eastAsiaTheme="minorHAnsi" w:cstheme="minorHAnsi"/>
          <w:lang w:val="hu-HU"/>
        </w:rPr>
        <w:t xml:space="preserve">, hogy ez az összefoglaló hasznosnak bizonyul </w:t>
      </w:r>
      <w:r w:rsidR="004F23CB" w:rsidRPr="00443B6F">
        <w:rPr>
          <w:rFonts w:eastAsiaTheme="minorHAnsi" w:cstheme="minorHAnsi"/>
          <w:lang w:val="hu-HU"/>
        </w:rPr>
        <w:t xml:space="preserve">minden olvasó számára a </w:t>
      </w:r>
      <w:r w:rsidR="003461EC" w:rsidRPr="00443B6F">
        <w:rPr>
          <w:rFonts w:eastAsiaTheme="minorHAnsi" w:cstheme="minorHAnsi"/>
          <w:lang w:val="hu-HU"/>
        </w:rPr>
        <w:t>szabvány megértésében</w:t>
      </w:r>
      <w:r w:rsidR="003E2C70" w:rsidRPr="00443B6F">
        <w:rPr>
          <w:rFonts w:eastAsiaTheme="minorHAnsi" w:cstheme="minorHAnsi"/>
          <w:lang w:val="hu-HU"/>
        </w:rPr>
        <w:t>.</w:t>
      </w:r>
      <w:r w:rsidR="00C34F85" w:rsidRPr="00443B6F">
        <w:rPr>
          <w:rFonts w:asciiTheme="majorHAnsi" w:hAnsiTheme="majorHAnsi"/>
          <w:lang w:val="hu-HU"/>
        </w:rPr>
        <w:br w:type="page"/>
      </w:r>
    </w:p>
    <w:p w14:paraId="5567C08E" w14:textId="77777777" w:rsidR="00F8229F" w:rsidRPr="00443B6F" w:rsidRDefault="00F8229F" w:rsidP="000E5A27">
      <w:pPr>
        <w:pStyle w:val="Heading2"/>
        <w:numPr>
          <w:ilvl w:val="0"/>
          <w:numId w:val="24"/>
        </w:numPr>
        <w:spacing w:before="240" w:after="240" w:line="276" w:lineRule="auto"/>
        <w:ind w:left="0" w:firstLine="0"/>
        <w:rPr>
          <w:bCs w:val="0"/>
          <w:color w:val="365F91" w:themeColor="accent1" w:themeShade="BF"/>
          <w:sz w:val="28"/>
          <w:lang w:val="hu-HU"/>
        </w:rPr>
      </w:pPr>
      <w:bookmarkStart w:id="3" w:name="_Toc91191780"/>
      <w:r w:rsidRPr="00443B6F">
        <w:rPr>
          <w:bCs w:val="0"/>
          <w:color w:val="365F91" w:themeColor="accent1" w:themeShade="BF"/>
          <w:sz w:val="28"/>
          <w:lang w:val="hu-HU"/>
        </w:rPr>
        <w:lastRenderedPageBreak/>
        <w:t>Alapok</w:t>
      </w:r>
      <w:bookmarkEnd w:id="3"/>
    </w:p>
    <w:p w14:paraId="0852ED58" w14:textId="77777777" w:rsidR="00F8229F" w:rsidRPr="00443B6F" w:rsidRDefault="00F8229F" w:rsidP="00B012C0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7067EFB4" w14:textId="77777777" w:rsidR="00A074BC" w:rsidRPr="00443B6F" w:rsidRDefault="00C85C0A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>Ebben a</w:t>
      </w:r>
      <w:r w:rsidR="00984801" w:rsidRPr="00443B6F">
        <w:rPr>
          <w:rFonts w:eastAsiaTheme="minorHAnsi" w:cstheme="minorHAnsi"/>
          <w:lang w:val="hu-HU"/>
        </w:rPr>
        <w:t xml:space="preserve"> </w:t>
      </w:r>
      <w:r w:rsidR="005B4F0B" w:rsidRPr="00443B6F">
        <w:rPr>
          <w:rFonts w:eastAsiaTheme="minorHAnsi" w:cstheme="minorHAnsi"/>
          <w:lang w:val="hu-HU"/>
        </w:rPr>
        <w:t>fejezetben</w:t>
      </w:r>
      <w:r w:rsidR="00984801" w:rsidRPr="00443B6F">
        <w:rPr>
          <w:rFonts w:eastAsiaTheme="minorHAnsi" w:cstheme="minorHAnsi"/>
          <w:lang w:val="hu-HU"/>
        </w:rPr>
        <w:t xml:space="preserve"> </w:t>
      </w:r>
      <w:r w:rsidR="009272D3" w:rsidRPr="00443B6F">
        <w:rPr>
          <w:rFonts w:eastAsiaTheme="minorHAnsi" w:cstheme="minorHAnsi"/>
          <w:lang w:val="hu-HU"/>
        </w:rPr>
        <w:t xml:space="preserve">az alábbi </w:t>
      </w:r>
      <w:r w:rsidR="007F6BB1" w:rsidRPr="00443B6F">
        <w:rPr>
          <w:rFonts w:eastAsiaTheme="minorHAnsi" w:cstheme="minorHAnsi"/>
          <w:lang w:val="hu-HU"/>
        </w:rPr>
        <w:t>területeket</w:t>
      </w:r>
      <w:r w:rsidR="009272D3" w:rsidRPr="00443B6F">
        <w:rPr>
          <w:rFonts w:eastAsiaTheme="minorHAnsi" w:cstheme="minorHAnsi"/>
          <w:lang w:val="hu-HU"/>
        </w:rPr>
        <w:t xml:space="preserve"> érintjük</w:t>
      </w:r>
      <w:r w:rsidR="001D5E0E" w:rsidRPr="00443B6F">
        <w:rPr>
          <w:rFonts w:eastAsiaTheme="minorHAnsi" w:cstheme="minorHAnsi"/>
          <w:lang w:val="hu-HU"/>
        </w:rPr>
        <w:t>:</w:t>
      </w:r>
    </w:p>
    <w:p w14:paraId="5E63C912" w14:textId="3C1425EF" w:rsidR="00B25A76" w:rsidRPr="00443B6F" w:rsidRDefault="00B25A76" w:rsidP="000E5A27">
      <w:pPr>
        <w:pStyle w:val="ListNumber"/>
        <w:numPr>
          <w:ilvl w:val="0"/>
          <w:numId w:val="1"/>
        </w:numPr>
        <w:tabs>
          <w:tab w:val="num" w:pos="360"/>
        </w:tabs>
        <w:ind w:left="360"/>
        <w:rPr>
          <w:lang w:val="hu-HU"/>
        </w:rPr>
      </w:pPr>
      <w:r w:rsidRPr="00443B6F">
        <w:rPr>
          <w:lang w:val="hu-HU"/>
        </w:rPr>
        <w:t xml:space="preserve">A </w:t>
      </w:r>
      <w:r w:rsidR="00A87657" w:rsidRPr="00443B6F">
        <w:rPr>
          <w:lang w:val="hu-HU"/>
        </w:rPr>
        <w:t>szabvány</w:t>
      </w:r>
      <w:r w:rsidRPr="00443B6F">
        <w:rPr>
          <w:lang w:val="hu-HU"/>
        </w:rPr>
        <w:t xml:space="preserve"> hatálya</w:t>
      </w:r>
    </w:p>
    <w:p w14:paraId="35259AF8" w14:textId="77777777" w:rsidR="00A074BC" w:rsidRPr="00443B6F" w:rsidRDefault="009272D3" w:rsidP="000E5A27">
      <w:pPr>
        <w:pStyle w:val="ListNumber"/>
        <w:numPr>
          <w:ilvl w:val="0"/>
          <w:numId w:val="1"/>
        </w:numPr>
        <w:tabs>
          <w:tab w:val="num" w:pos="360"/>
        </w:tabs>
        <w:ind w:left="360"/>
        <w:rPr>
          <w:lang w:val="hu-HU"/>
        </w:rPr>
      </w:pPr>
      <w:r w:rsidRPr="00443B6F">
        <w:rPr>
          <w:lang w:val="hu-HU"/>
        </w:rPr>
        <w:t>M</w:t>
      </w:r>
      <w:r w:rsidR="00A074BC" w:rsidRPr="00443B6F">
        <w:rPr>
          <w:lang w:val="hu-HU"/>
        </w:rPr>
        <w:t>it tekinthetünk (viszont)</w:t>
      </w:r>
      <w:r w:rsidR="00A074BC" w:rsidRPr="00443B6F">
        <w:rPr>
          <w:rStyle w:val="ElnevezsChar"/>
          <w:rFonts w:eastAsiaTheme="minorEastAsia"/>
          <w:bCs/>
          <w:iCs/>
          <w:lang w:val="hu-HU"/>
        </w:rPr>
        <w:t>biztosítási szerződésnek</w:t>
      </w:r>
      <w:r w:rsidRPr="00443B6F">
        <w:rPr>
          <w:lang w:val="hu-HU"/>
        </w:rPr>
        <w:t>?</w:t>
      </w:r>
    </w:p>
    <w:p w14:paraId="7EB6F75A" w14:textId="77777777" w:rsidR="00A074BC" w:rsidRPr="00443B6F" w:rsidRDefault="009272D3" w:rsidP="000E5A27">
      <w:pPr>
        <w:pStyle w:val="ListNumber"/>
        <w:numPr>
          <w:ilvl w:val="0"/>
          <w:numId w:val="1"/>
        </w:numPr>
        <w:tabs>
          <w:tab w:val="num" w:pos="360"/>
        </w:tabs>
        <w:ind w:left="360"/>
        <w:rPr>
          <w:lang w:val="hu-HU"/>
        </w:rPr>
      </w:pPr>
      <w:r w:rsidRPr="00443B6F">
        <w:rPr>
          <w:lang w:val="hu-HU"/>
        </w:rPr>
        <w:t>Mikor és milyen szerződéselemeket kell szétválasztani és külön értékelni</w:t>
      </w:r>
      <w:r w:rsidR="000F1E26" w:rsidRPr="00443B6F">
        <w:rPr>
          <w:lang w:val="hu-HU"/>
        </w:rPr>
        <w:t>, mely szerződéseket lehet együtt kezelni</w:t>
      </w:r>
      <w:r w:rsidRPr="00443B6F">
        <w:rPr>
          <w:lang w:val="hu-HU"/>
        </w:rPr>
        <w:t>?</w:t>
      </w:r>
    </w:p>
    <w:p w14:paraId="4C3C410A" w14:textId="77777777" w:rsidR="007F6BB1" w:rsidRPr="00443B6F" w:rsidRDefault="008321B0" w:rsidP="000E5A27">
      <w:pPr>
        <w:pStyle w:val="ListNumber"/>
        <w:numPr>
          <w:ilvl w:val="0"/>
          <w:numId w:val="1"/>
        </w:numPr>
        <w:tabs>
          <w:tab w:val="num" w:pos="360"/>
        </w:tabs>
        <w:ind w:left="360"/>
        <w:rPr>
          <w:rStyle w:val="ElnevezsChar"/>
          <w:rFonts w:eastAsiaTheme="minorEastAsia"/>
          <w:bCs/>
          <w:iCs/>
          <w:color w:val="auto"/>
          <w:lang w:val="hu-HU"/>
        </w:rPr>
      </w:pPr>
      <w:r w:rsidRPr="00443B6F">
        <w:rPr>
          <w:lang w:val="hu-HU"/>
        </w:rPr>
        <w:t>A</w:t>
      </w:r>
      <w:r w:rsidR="007F6BB1" w:rsidRPr="00443B6F">
        <w:rPr>
          <w:rStyle w:val="ElnevezsChar"/>
          <w:rFonts w:eastAsiaTheme="minorEastAsia"/>
          <w:bCs/>
          <w:iCs/>
          <w:lang w:val="hu-HU"/>
        </w:rPr>
        <w:t xml:space="preserve"> szer</w:t>
      </w:r>
      <w:r w:rsidR="003519A1" w:rsidRPr="00443B6F">
        <w:rPr>
          <w:rStyle w:val="ElnevezsChar"/>
          <w:rFonts w:eastAsiaTheme="minorEastAsia"/>
          <w:bCs/>
          <w:iCs/>
          <w:lang w:val="hu-HU"/>
        </w:rPr>
        <w:t>ződés határai</w:t>
      </w:r>
    </w:p>
    <w:p w14:paraId="3E97F486" w14:textId="3523B52B" w:rsidR="009272D3" w:rsidRDefault="009272D3" w:rsidP="00B012C0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35E9F5D5" w14:textId="77777777" w:rsidR="002D5A3D" w:rsidRPr="00443B6F" w:rsidRDefault="002D5A3D" w:rsidP="00B012C0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668C94FD" w14:textId="6C001DD5" w:rsidR="00B25A76" w:rsidRPr="00443B6F" w:rsidRDefault="00B25A76" w:rsidP="000E5A27">
      <w:pPr>
        <w:pStyle w:val="Heading3"/>
        <w:numPr>
          <w:ilvl w:val="1"/>
          <w:numId w:val="24"/>
        </w:numPr>
        <w:spacing w:before="40" w:after="120" w:line="276" w:lineRule="auto"/>
        <w:ind w:left="0" w:firstLine="0"/>
        <w:rPr>
          <w:bCs w:val="0"/>
          <w:color w:val="244061" w:themeColor="accent1" w:themeShade="80"/>
          <w:sz w:val="26"/>
          <w:szCs w:val="24"/>
          <w:lang w:val="hu-HU"/>
        </w:rPr>
      </w:pPr>
      <w:bookmarkStart w:id="4" w:name="_Toc91191781"/>
      <w:r w:rsidRPr="00443B6F">
        <w:rPr>
          <w:bCs w:val="0"/>
          <w:color w:val="244061" w:themeColor="accent1" w:themeShade="80"/>
          <w:sz w:val="26"/>
          <w:szCs w:val="24"/>
          <w:lang w:val="hu-HU"/>
        </w:rPr>
        <w:t xml:space="preserve">A </w:t>
      </w:r>
      <w:r w:rsidR="00A87657" w:rsidRPr="00443B6F">
        <w:rPr>
          <w:bCs w:val="0"/>
          <w:color w:val="244061" w:themeColor="accent1" w:themeShade="80"/>
          <w:sz w:val="26"/>
          <w:szCs w:val="24"/>
          <w:lang w:val="hu-HU"/>
        </w:rPr>
        <w:t>szabvány</w:t>
      </w:r>
      <w:r w:rsidRPr="00443B6F">
        <w:rPr>
          <w:bCs w:val="0"/>
          <w:color w:val="244061" w:themeColor="accent1" w:themeShade="80"/>
          <w:sz w:val="26"/>
          <w:szCs w:val="24"/>
          <w:lang w:val="hu-HU"/>
        </w:rPr>
        <w:t xml:space="preserve"> hatálya</w:t>
      </w:r>
      <w:bookmarkEnd w:id="4"/>
    </w:p>
    <w:p w14:paraId="3A3CA5B9" w14:textId="77777777" w:rsidR="00B25A76" w:rsidRPr="00443B6F" w:rsidRDefault="00B25A76" w:rsidP="00B25A76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43AE6EB1" w14:textId="6078B119" w:rsidR="00325F0C" w:rsidRPr="00443B6F" w:rsidRDefault="00325F0C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 </w:t>
      </w:r>
      <w:r w:rsidR="00A87657" w:rsidRPr="00443B6F">
        <w:rPr>
          <w:rFonts w:eastAsiaTheme="minorHAnsi" w:cstheme="minorHAnsi"/>
          <w:lang w:val="hu-HU"/>
        </w:rPr>
        <w:t>szabványt</w:t>
      </w:r>
      <w:r w:rsidRPr="00443B6F">
        <w:rPr>
          <w:rFonts w:eastAsiaTheme="minorHAnsi" w:cstheme="minorHAnsi"/>
          <w:lang w:val="hu-HU"/>
        </w:rPr>
        <w:t xml:space="preserve"> az alábbi szerződésekre kell alkalmazni:</w:t>
      </w:r>
    </w:p>
    <w:p w14:paraId="15D956E4" w14:textId="112EEB8B" w:rsidR="00325F0C" w:rsidRPr="00443B6F" w:rsidRDefault="009F6670" w:rsidP="000E5A27">
      <w:pPr>
        <w:pStyle w:val="ListNumber"/>
        <w:numPr>
          <w:ilvl w:val="0"/>
          <w:numId w:val="34"/>
        </w:numPr>
        <w:rPr>
          <w:lang w:val="hu-HU"/>
        </w:rPr>
      </w:pPr>
      <w:r w:rsidRPr="00443B6F">
        <w:rPr>
          <w:lang w:val="hu-HU"/>
        </w:rPr>
        <w:t>A k</w:t>
      </w:r>
      <w:r w:rsidR="00A75488" w:rsidRPr="00443B6F">
        <w:rPr>
          <w:lang w:val="hu-HU"/>
        </w:rPr>
        <w:t xml:space="preserve">ibocsátott </w:t>
      </w:r>
      <w:r w:rsidR="00A75488" w:rsidRPr="00443B6F">
        <w:rPr>
          <w:rStyle w:val="ElnevezsChar"/>
          <w:rFonts w:eastAsiaTheme="minorEastAsia"/>
          <w:bCs/>
          <w:iCs/>
          <w:lang w:val="hu-HU"/>
        </w:rPr>
        <w:t>biztosítási és vi</w:t>
      </w:r>
      <w:r w:rsidR="00325F0C" w:rsidRPr="00443B6F">
        <w:rPr>
          <w:rStyle w:val="ElnevezsChar"/>
          <w:rFonts w:eastAsiaTheme="minorEastAsia"/>
          <w:bCs/>
          <w:iCs/>
          <w:lang w:val="hu-HU"/>
        </w:rPr>
        <w:t>s</w:t>
      </w:r>
      <w:r w:rsidR="00A75488" w:rsidRPr="00443B6F">
        <w:rPr>
          <w:rStyle w:val="ElnevezsChar"/>
          <w:rFonts w:eastAsiaTheme="minorEastAsia"/>
          <w:bCs/>
          <w:iCs/>
          <w:lang w:val="hu-HU"/>
        </w:rPr>
        <w:t>z</w:t>
      </w:r>
      <w:r w:rsidR="00325F0C" w:rsidRPr="00443B6F">
        <w:rPr>
          <w:rStyle w:val="ElnevezsChar"/>
          <w:rFonts w:eastAsiaTheme="minorEastAsia"/>
          <w:bCs/>
          <w:iCs/>
          <w:lang w:val="hu-HU"/>
        </w:rPr>
        <w:t>ontbiztosítási szerződésekre</w:t>
      </w:r>
    </w:p>
    <w:p w14:paraId="4DE73375" w14:textId="2E7320B7" w:rsidR="00325F0C" w:rsidRPr="00443B6F" w:rsidRDefault="009F6670" w:rsidP="000E5A27">
      <w:pPr>
        <w:pStyle w:val="ListNumber"/>
        <w:numPr>
          <w:ilvl w:val="0"/>
          <w:numId w:val="34"/>
        </w:numPr>
        <w:rPr>
          <w:lang w:val="hu-HU"/>
        </w:rPr>
      </w:pPr>
      <w:r w:rsidRPr="00443B6F">
        <w:rPr>
          <w:lang w:val="hu-HU"/>
        </w:rPr>
        <w:t>A t</w:t>
      </w:r>
      <w:r w:rsidR="00325F0C" w:rsidRPr="00443B6F">
        <w:rPr>
          <w:lang w:val="hu-HU"/>
        </w:rPr>
        <w:t xml:space="preserve">artott </w:t>
      </w:r>
      <w:r w:rsidR="00325F0C" w:rsidRPr="00443B6F">
        <w:rPr>
          <w:rStyle w:val="ElnevezsChar"/>
          <w:rFonts w:eastAsiaTheme="minorEastAsia"/>
          <w:bCs/>
          <w:iCs/>
          <w:lang w:val="hu-HU"/>
        </w:rPr>
        <w:t>viszontbiztosítás</w:t>
      </w:r>
      <w:r w:rsidR="00FB0EB5" w:rsidRPr="00443B6F">
        <w:rPr>
          <w:rStyle w:val="ElnevezsChar"/>
          <w:rFonts w:eastAsiaTheme="minorEastAsia"/>
          <w:bCs/>
          <w:iCs/>
          <w:lang w:val="hu-HU"/>
        </w:rPr>
        <w:t>i szerződésekre</w:t>
      </w:r>
    </w:p>
    <w:p w14:paraId="39ADE60C" w14:textId="1930125A" w:rsidR="00325F0C" w:rsidRPr="00443B6F" w:rsidRDefault="009F6670" w:rsidP="000E5A27">
      <w:pPr>
        <w:pStyle w:val="ListNumber"/>
        <w:numPr>
          <w:ilvl w:val="0"/>
          <w:numId w:val="34"/>
        </w:numPr>
        <w:rPr>
          <w:lang w:val="hu-HU"/>
        </w:rPr>
      </w:pPr>
      <w:r w:rsidRPr="00443B6F">
        <w:rPr>
          <w:lang w:val="hu-HU"/>
        </w:rPr>
        <w:t xml:space="preserve">A </w:t>
      </w:r>
      <w:r w:rsidRPr="00443B6F">
        <w:rPr>
          <w:rStyle w:val="ElnevezsChar"/>
          <w:rFonts w:eastAsiaTheme="minorEastAsia"/>
          <w:bCs/>
          <w:iCs/>
          <w:lang w:val="hu-HU"/>
        </w:rPr>
        <w:t>d</w:t>
      </w:r>
      <w:r w:rsidR="00325F0C" w:rsidRPr="00443B6F">
        <w:rPr>
          <w:rStyle w:val="ElnevezsChar"/>
          <w:rFonts w:eastAsiaTheme="minorEastAsia"/>
          <w:bCs/>
          <w:iCs/>
          <w:lang w:val="hu-HU"/>
        </w:rPr>
        <w:t>iszkrecionális nyereségrészesedést tartalmazó befektetési szerződésekre</w:t>
      </w:r>
      <w:r w:rsidR="00DD33C1" w:rsidRPr="00443B6F">
        <w:rPr>
          <w:lang w:val="hu-HU"/>
        </w:rPr>
        <w:t>,</w:t>
      </w:r>
      <w:r w:rsidR="00325F0C" w:rsidRPr="00443B6F">
        <w:rPr>
          <w:lang w:val="hu-HU"/>
        </w:rPr>
        <w:t xml:space="preserve"> amennyiben a </w:t>
      </w:r>
      <w:r w:rsidR="0044206D" w:rsidRPr="00443B6F">
        <w:rPr>
          <w:lang w:val="hu-HU"/>
        </w:rPr>
        <w:t>társaság</w:t>
      </w:r>
      <w:r w:rsidR="00325F0C" w:rsidRPr="00443B6F">
        <w:rPr>
          <w:lang w:val="hu-HU"/>
        </w:rPr>
        <w:t xml:space="preserve"> biztosítási szerződéseket is kibocsát.</w:t>
      </w:r>
    </w:p>
    <w:p w14:paraId="5F5F2C54" w14:textId="77777777" w:rsidR="00325F0C" w:rsidRPr="00443B6F" w:rsidRDefault="00325F0C" w:rsidP="00B25A76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613487C7" w14:textId="7202CBAD" w:rsidR="002471A3" w:rsidRPr="00443B6F" w:rsidRDefault="002471A3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Fontos kiemelnünk a </w:t>
      </w:r>
      <w:r w:rsidR="009F6670" w:rsidRPr="00443B6F">
        <w:rPr>
          <w:rFonts w:eastAsiaTheme="minorHAnsi" w:cstheme="minorHAnsi"/>
          <w:lang w:val="hu-HU"/>
        </w:rPr>
        <w:t>szabvánnyal</w:t>
      </w:r>
      <w:r w:rsidRPr="00443B6F">
        <w:rPr>
          <w:rFonts w:eastAsiaTheme="minorHAnsi" w:cstheme="minorHAnsi"/>
          <w:lang w:val="hu-HU"/>
        </w:rPr>
        <w:t xml:space="preserve"> kapcsolatban, hogy az</w:t>
      </w:r>
      <w:r w:rsidR="002E14B7" w:rsidRPr="00443B6F">
        <w:rPr>
          <w:rFonts w:eastAsiaTheme="minorHAnsi" w:cstheme="minorHAnsi"/>
          <w:lang w:val="hu-HU"/>
        </w:rPr>
        <w:t xml:space="preserve"> a</w:t>
      </w:r>
      <w:r w:rsidRPr="00443B6F">
        <w:rPr>
          <w:rFonts w:eastAsiaTheme="minorHAnsi" w:cstheme="minorHAnsi"/>
          <w:lang w:val="hu-HU"/>
        </w:rPr>
        <w:t xml:space="preserve"> szerződésekre vonatkozik, nem pedig </w:t>
      </w:r>
      <w:r w:rsidR="009F6670" w:rsidRPr="00443B6F">
        <w:rPr>
          <w:rFonts w:eastAsiaTheme="minorHAnsi" w:cstheme="minorHAnsi"/>
          <w:lang w:val="hu-HU"/>
        </w:rPr>
        <w:t>társaságokra/biztosítókra</w:t>
      </w:r>
      <w:r w:rsidRPr="00443B6F">
        <w:rPr>
          <w:rFonts w:eastAsiaTheme="minorHAnsi" w:cstheme="minorHAnsi"/>
          <w:lang w:val="hu-HU"/>
        </w:rPr>
        <w:t xml:space="preserve">. Így előfordulhat </w:t>
      </w:r>
      <w:r w:rsidR="00231B6B" w:rsidRPr="00443B6F">
        <w:rPr>
          <w:rFonts w:eastAsiaTheme="minorHAnsi" w:cstheme="minorHAnsi"/>
          <w:lang w:val="hu-HU"/>
        </w:rPr>
        <w:t xml:space="preserve">az </w:t>
      </w:r>
      <w:r w:rsidR="00B727C4" w:rsidRPr="00443B6F">
        <w:rPr>
          <w:rFonts w:eastAsiaTheme="minorHAnsi" w:cstheme="minorHAnsi"/>
          <w:lang w:val="hu-HU"/>
        </w:rPr>
        <w:t>(és ez gyakran meg is esik)</w:t>
      </w:r>
      <w:r w:rsidRPr="00443B6F">
        <w:rPr>
          <w:rFonts w:eastAsiaTheme="minorHAnsi" w:cstheme="minorHAnsi"/>
          <w:lang w:val="hu-HU"/>
        </w:rPr>
        <w:t>, hogy biztosítók ál</w:t>
      </w:r>
      <w:r w:rsidR="00231B6B" w:rsidRPr="00443B6F">
        <w:rPr>
          <w:rFonts w:eastAsiaTheme="minorHAnsi" w:cstheme="minorHAnsi"/>
          <w:lang w:val="hu-HU"/>
        </w:rPr>
        <w:t xml:space="preserve">tal értékesített bizonyos szerződésekre </w:t>
      </w:r>
      <w:r w:rsidR="00C34F85" w:rsidRPr="00443B6F">
        <w:rPr>
          <w:rFonts w:eastAsiaTheme="minorHAnsi" w:cstheme="minorHAnsi"/>
          <w:lang w:val="hu-HU"/>
        </w:rPr>
        <w:t xml:space="preserve">– </w:t>
      </w:r>
      <w:r w:rsidRPr="00443B6F">
        <w:rPr>
          <w:rFonts w:eastAsiaTheme="minorHAnsi" w:cstheme="minorHAnsi"/>
          <w:lang w:val="hu-HU"/>
        </w:rPr>
        <w:t>melyek nem minősülnek biztosítási szerződésnek</w:t>
      </w:r>
      <w:r w:rsidR="00C34F85" w:rsidRPr="00443B6F">
        <w:rPr>
          <w:rFonts w:eastAsiaTheme="minorHAnsi" w:cstheme="minorHAnsi"/>
          <w:lang w:val="hu-HU"/>
        </w:rPr>
        <w:t xml:space="preserve"> – </w:t>
      </w:r>
      <w:r w:rsidRPr="00443B6F">
        <w:rPr>
          <w:rFonts w:eastAsiaTheme="minorHAnsi" w:cstheme="minorHAnsi"/>
          <w:lang w:val="hu-HU"/>
        </w:rPr>
        <w:t xml:space="preserve">nem ezt a </w:t>
      </w:r>
      <w:r w:rsidR="00C34F85" w:rsidRPr="00443B6F">
        <w:rPr>
          <w:rFonts w:eastAsiaTheme="minorHAnsi" w:cstheme="minorHAnsi"/>
          <w:lang w:val="hu-HU"/>
        </w:rPr>
        <w:t>szabványt</w:t>
      </w:r>
      <w:r w:rsidRPr="00443B6F">
        <w:rPr>
          <w:rFonts w:eastAsiaTheme="minorHAnsi" w:cstheme="minorHAnsi"/>
          <w:lang w:val="hu-HU"/>
        </w:rPr>
        <w:t xml:space="preserve"> kell az értékelés során alkalmazni.</w:t>
      </w:r>
      <w:r w:rsidR="00FB0EB5" w:rsidRPr="00443B6F">
        <w:rPr>
          <w:rFonts w:eastAsiaTheme="minorHAnsi" w:cstheme="minorHAnsi"/>
          <w:lang w:val="hu-HU"/>
        </w:rPr>
        <w:t xml:space="preserve"> Mindazonáltal az egyszerűség kedvéért e dokumentumban (viszont)biztosítónak azt az entitást nevezzük, amelyik (viszont)biztosítási szerződést bocsát ki.</w:t>
      </w:r>
    </w:p>
    <w:p w14:paraId="3749C166" w14:textId="77777777" w:rsidR="002471A3" w:rsidRPr="00443B6F" w:rsidRDefault="002471A3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238D334F" w14:textId="7B5486FF" w:rsidR="002471A3" w:rsidRPr="00443B6F" w:rsidRDefault="002471A3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Érdemes hangsúlyozni, hogy 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diszkrecionális nyereségrészesedést tartalmazó befektetési szerződések</w:t>
      </w:r>
      <w:r w:rsidRPr="00443B6F">
        <w:rPr>
          <w:rFonts w:eastAsiaTheme="minorHAnsi" w:cstheme="minorHAnsi"/>
          <w:lang w:val="hu-HU"/>
        </w:rPr>
        <w:t xml:space="preserve"> is </w:t>
      </w:r>
      <w:r w:rsidR="00C34F85" w:rsidRPr="00443B6F">
        <w:rPr>
          <w:rFonts w:eastAsiaTheme="minorHAnsi" w:cstheme="minorHAnsi"/>
          <w:lang w:val="hu-HU"/>
        </w:rPr>
        <w:t xml:space="preserve">a </w:t>
      </w:r>
      <w:r w:rsidR="00DD33C1" w:rsidRPr="00443B6F">
        <w:rPr>
          <w:rFonts w:eastAsiaTheme="minorHAnsi" w:cstheme="minorHAnsi"/>
          <w:lang w:val="hu-HU"/>
        </w:rPr>
        <w:t>szabvány</w:t>
      </w:r>
      <w:r w:rsidRPr="00443B6F">
        <w:rPr>
          <w:rFonts w:eastAsiaTheme="minorHAnsi" w:cstheme="minorHAnsi"/>
          <w:lang w:val="hu-HU"/>
        </w:rPr>
        <w:t xml:space="preserve"> hatálya alá tartoznak</w:t>
      </w:r>
      <w:r w:rsidR="00DB16DA" w:rsidRPr="00443B6F">
        <w:rPr>
          <w:rFonts w:eastAsiaTheme="minorHAnsi" w:cstheme="minorHAnsi"/>
          <w:lang w:val="hu-HU"/>
        </w:rPr>
        <w:t>,</w:t>
      </w:r>
      <w:r w:rsidRPr="00443B6F">
        <w:rPr>
          <w:rFonts w:eastAsiaTheme="minorHAnsi" w:cstheme="minorHAnsi"/>
          <w:lang w:val="hu-HU"/>
        </w:rPr>
        <w:t xml:space="preserve"> amennyiben a</w:t>
      </w:r>
      <w:r w:rsidR="009F6670" w:rsidRPr="00443B6F">
        <w:rPr>
          <w:rFonts w:eastAsiaTheme="minorHAnsi" w:cstheme="minorHAnsi"/>
          <w:lang w:val="hu-HU"/>
        </w:rPr>
        <w:t xml:space="preserve"> társaság</w:t>
      </w:r>
      <w:r w:rsidRPr="00443B6F">
        <w:rPr>
          <w:rFonts w:eastAsiaTheme="minorHAnsi" w:cstheme="minorHAnsi"/>
          <w:lang w:val="hu-HU"/>
        </w:rPr>
        <w:t xml:space="preserve"> biztosítási szerződéseket is kibocsát. Ezek</w:t>
      </w:r>
      <w:r w:rsidR="001807E4" w:rsidRPr="00443B6F">
        <w:rPr>
          <w:rFonts w:eastAsiaTheme="minorHAnsi" w:cstheme="minorHAnsi"/>
          <w:lang w:val="hu-HU"/>
        </w:rPr>
        <w:t xml:space="preserve"> a szerződések </w:t>
      </w:r>
      <w:r w:rsidRPr="00443B6F">
        <w:rPr>
          <w:rFonts w:eastAsiaTheme="minorHAnsi" w:cstheme="minorHAnsi"/>
          <w:lang w:val="hu-HU"/>
        </w:rPr>
        <w:t>klasszifikációs szempontból</w:t>
      </w:r>
      <w:r w:rsidR="00DD33C1" w:rsidRPr="00443B6F">
        <w:rPr>
          <w:rFonts w:eastAsiaTheme="minorHAnsi" w:cstheme="minorHAnsi"/>
          <w:lang w:val="hu-HU"/>
        </w:rPr>
        <w:t xml:space="preserve"> azonban</w:t>
      </w:r>
      <w:r w:rsidRPr="00443B6F">
        <w:rPr>
          <w:rFonts w:eastAsiaTheme="minorHAnsi" w:cstheme="minorHAnsi"/>
          <w:lang w:val="hu-HU"/>
        </w:rPr>
        <w:t xml:space="preserve"> nem minősülnek biztosítási szerződésnek.</w:t>
      </w:r>
    </w:p>
    <w:p w14:paraId="7AF61B96" w14:textId="2FCB52EA" w:rsidR="002471A3" w:rsidRDefault="002471A3" w:rsidP="00B25A76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2638B84C" w14:textId="77777777" w:rsidR="002D5A3D" w:rsidRPr="00443B6F" w:rsidRDefault="002D5A3D" w:rsidP="00B25A76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4E8D4B0B" w14:textId="77777777" w:rsidR="009272D3" w:rsidRPr="00443B6F" w:rsidRDefault="009272D3" w:rsidP="000E5A27">
      <w:pPr>
        <w:pStyle w:val="Heading3"/>
        <w:numPr>
          <w:ilvl w:val="1"/>
          <w:numId w:val="24"/>
        </w:numPr>
        <w:spacing w:before="40" w:after="120" w:line="276" w:lineRule="auto"/>
        <w:ind w:left="0" w:firstLine="0"/>
        <w:rPr>
          <w:bCs w:val="0"/>
          <w:color w:val="244061" w:themeColor="accent1" w:themeShade="80"/>
          <w:sz w:val="26"/>
          <w:szCs w:val="24"/>
          <w:lang w:val="hu-HU"/>
        </w:rPr>
      </w:pPr>
      <w:bookmarkStart w:id="5" w:name="_Toc91191782"/>
      <w:r w:rsidRPr="00443B6F">
        <w:rPr>
          <w:bCs w:val="0"/>
          <w:color w:val="244061" w:themeColor="accent1" w:themeShade="80"/>
          <w:sz w:val="26"/>
          <w:szCs w:val="24"/>
          <w:lang w:val="hu-HU"/>
        </w:rPr>
        <w:t>Mit tekinthetünk (viszont)biztosítási szerződésnek?</w:t>
      </w:r>
      <w:bookmarkEnd w:id="5"/>
    </w:p>
    <w:p w14:paraId="1D84C116" w14:textId="77777777" w:rsidR="009272D3" w:rsidRPr="00443B6F" w:rsidRDefault="009272D3" w:rsidP="00B012C0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08F0258A" w14:textId="1D10DE83" w:rsidR="00E415DF" w:rsidRPr="00443B6F" w:rsidRDefault="00E415DF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kibocsátott s</w:t>
      </w:r>
      <w:r w:rsidR="00CA112C" w:rsidRPr="00443B6F">
        <w:rPr>
          <w:rFonts w:eastAsiaTheme="minorHAnsi" w:cstheme="minorHAnsi"/>
          <w:color w:val="548DD4" w:themeColor="text2" w:themeTint="99"/>
          <w:lang w:val="hu-HU"/>
        </w:rPr>
        <w:t>zerződések</w:t>
      </w:r>
      <w:r w:rsidR="00CA112C" w:rsidRPr="00443B6F">
        <w:rPr>
          <w:rFonts w:eastAsiaTheme="minorHAnsi" w:cstheme="minorHAnsi"/>
          <w:lang w:val="hu-HU"/>
        </w:rPr>
        <w:t xml:space="preserve"> besorolásával már </w:t>
      </w:r>
      <w:r w:rsidRPr="00443B6F">
        <w:rPr>
          <w:rFonts w:eastAsiaTheme="minorHAnsi" w:cstheme="minorHAnsi"/>
          <w:lang w:val="hu-HU"/>
        </w:rPr>
        <w:t xml:space="preserve">az IASB </w:t>
      </w:r>
      <w:r w:rsidR="009F6670" w:rsidRPr="00443B6F">
        <w:rPr>
          <w:rFonts w:eastAsiaTheme="minorHAnsi" w:cstheme="minorHAnsi"/>
          <w:lang w:val="hu-HU"/>
        </w:rPr>
        <w:t xml:space="preserve">biztosítási szerződések elszámolásról szóló </w:t>
      </w:r>
      <w:r w:rsidRPr="00443B6F">
        <w:rPr>
          <w:rFonts w:eastAsiaTheme="minorHAnsi" w:cstheme="minorHAnsi"/>
          <w:lang w:val="hu-HU"/>
        </w:rPr>
        <w:t>projekt</w:t>
      </w:r>
      <w:r w:rsidR="009F6670" w:rsidRPr="00443B6F">
        <w:rPr>
          <w:rFonts w:eastAsiaTheme="minorHAnsi" w:cstheme="minorHAnsi"/>
          <w:lang w:val="hu-HU"/>
        </w:rPr>
        <w:t>jének</w:t>
      </w:r>
      <w:r w:rsidRPr="00443B6F">
        <w:rPr>
          <w:rFonts w:eastAsiaTheme="minorHAnsi" w:cstheme="minorHAnsi"/>
          <w:lang w:val="hu-HU"/>
        </w:rPr>
        <w:t xml:space="preserve"> első fázisá</w:t>
      </w:r>
      <w:r w:rsidR="009F6670" w:rsidRPr="00443B6F">
        <w:rPr>
          <w:rFonts w:eastAsiaTheme="minorHAnsi" w:cstheme="minorHAnsi"/>
          <w:lang w:val="hu-HU"/>
        </w:rPr>
        <w:t>ban</w:t>
      </w:r>
      <w:r w:rsidRPr="00443B6F">
        <w:rPr>
          <w:rFonts w:eastAsiaTheme="minorHAnsi" w:cstheme="minorHAnsi"/>
          <w:lang w:val="hu-HU"/>
        </w:rPr>
        <w:t xml:space="preserve"> megszület</w:t>
      </w:r>
      <w:r w:rsidR="00CA112C" w:rsidRPr="00443B6F">
        <w:rPr>
          <w:rFonts w:eastAsiaTheme="minorHAnsi" w:cstheme="minorHAnsi"/>
          <w:lang w:val="hu-HU"/>
        </w:rPr>
        <w:t>ett</w:t>
      </w:r>
      <w:r w:rsidR="004F58FB" w:rsidRPr="00443B6F">
        <w:rPr>
          <w:rFonts w:eastAsiaTheme="minorHAnsi" w:cstheme="minorHAnsi"/>
          <w:lang w:val="hu-HU"/>
        </w:rPr>
        <w:t xml:space="preserve"> IFRS</w:t>
      </w:r>
      <w:r w:rsidRPr="00443B6F">
        <w:rPr>
          <w:rFonts w:eastAsiaTheme="minorHAnsi" w:cstheme="minorHAnsi"/>
          <w:lang w:val="hu-HU"/>
        </w:rPr>
        <w:t>4</w:t>
      </w:r>
      <w:r w:rsidR="009F6670" w:rsidRPr="00443B6F">
        <w:rPr>
          <w:rFonts w:eastAsiaTheme="minorHAnsi" w:cstheme="minorHAnsi"/>
          <w:lang w:val="hu-HU"/>
        </w:rPr>
        <w:t>-es</w:t>
      </w:r>
      <w:r w:rsidRPr="00443B6F">
        <w:rPr>
          <w:rFonts w:eastAsiaTheme="minorHAnsi" w:cstheme="minorHAnsi"/>
          <w:lang w:val="hu-HU"/>
        </w:rPr>
        <w:t xml:space="preserve"> szabvány </w:t>
      </w:r>
      <w:r w:rsidR="000B347E" w:rsidRPr="00443B6F">
        <w:rPr>
          <w:rFonts w:eastAsiaTheme="minorHAnsi" w:cstheme="minorHAnsi"/>
          <w:lang w:val="hu-HU"/>
        </w:rPr>
        <w:t xml:space="preserve">is </w:t>
      </w:r>
      <w:r w:rsidRPr="00443B6F">
        <w:rPr>
          <w:rFonts w:eastAsiaTheme="minorHAnsi" w:cstheme="minorHAnsi"/>
          <w:lang w:val="hu-HU"/>
        </w:rPr>
        <w:t>foglalkoz</w:t>
      </w:r>
      <w:r w:rsidR="00CA112C" w:rsidRPr="00443B6F">
        <w:rPr>
          <w:rFonts w:eastAsiaTheme="minorHAnsi" w:cstheme="minorHAnsi"/>
          <w:lang w:val="hu-HU"/>
        </w:rPr>
        <w:t>ott</w:t>
      </w:r>
      <w:r w:rsidRPr="00443B6F">
        <w:rPr>
          <w:rFonts w:eastAsiaTheme="minorHAnsi" w:cstheme="minorHAnsi"/>
          <w:lang w:val="hu-HU"/>
        </w:rPr>
        <w:t xml:space="preserve">. </w:t>
      </w:r>
      <w:r w:rsidR="00B727C4" w:rsidRPr="00443B6F">
        <w:rPr>
          <w:rFonts w:eastAsiaTheme="minorHAnsi" w:cstheme="minorHAnsi"/>
          <w:lang w:val="hu-HU"/>
        </w:rPr>
        <w:t>Sem a</w:t>
      </w:r>
      <w:r w:rsidR="00CA112C" w:rsidRPr="00443B6F">
        <w:rPr>
          <w:rFonts w:eastAsiaTheme="minorHAnsi" w:cstheme="minorHAnsi"/>
          <w:lang w:val="hu-HU"/>
        </w:rPr>
        <w:t xml:space="preserve"> második fázis 2013-as szabványtervezete </w:t>
      </w:r>
      <w:r w:rsidR="00B727C4" w:rsidRPr="00443B6F">
        <w:rPr>
          <w:rFonts w:eastAsiaTheme="minorHAnsi" w:cstheme="minorHAnsi"/>
          <w:lang w:val="hu-HU"/>
        </w:rPr>
        <w:t xml:space="preserve">sem pedig maga </w:t>
      </w:r>
      <w:r w:rsidR="009F6670" w:rsidRPr="00443B6F">
        <w:rPr>
          <w:rFonts w:eastAsiaTheme="minorHAnsi" w:cstheme="minorHAnsi"/>
          <w:lang w:val="hu-HU"/>
        </w:rPr>
        <w:t>az IFRS17</w:t>
      </w:r>
      <w:r w:rsidR="00B727C4" w:rsidRPr="00443B6F">
        <w:rPr>
          <w:rFonts w:eastAsiaTheme="minorHAnsi" w:cstheme="minorHAnsi"/>
          <w:lang w:val="hu-HU"/>
        </w:rPr>
        <w:t xml:space="preserve">-es szabvány nem módosítja jelentősen </w:t>
      </w:r>
      <w:r w:rsidR="00CA112C" w:rsidRPr="00443B6F">
        <w:rPr>
          <w:rFonts w:eastAsiaTheme="minorHAnsi" w:cstheme="minorHAnsi"/>
          <w:lang w:val="hu-HU"/>
        </w:rPr>
        <w:t>az IFRS4 biztosítási szerződés fogalmát</w:t>
      </w:r>
      <w:r w:rsidRPr="00443B6F">
        <w:rPr>
          <w:rFonts w:eastAsiaTheme="minorHAnsi" w:cstheme="minorHAnsi"/>
          <w:lang w:val="hu-HU"/>
        </w:rPr>
        <w:t>.</w:t>
      </w:r>
    </w:p>
    <w:p w14:paraId="7FDCC99D" w14:textId="77777777" w:rsidR="00E415DF" w:rsidRPr="00443B6F" w:rsidRDefault="00E415DF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7D93E6F5" w14:textId="7DCAF22E" w:rsidR="00995E27" w:rsidRDefault="00995E27">
      <w:pPr>
        <w:spacing w:after="200" w:line="276" w:lineRule="auto"/>
        <w:ind w:firstLine="0"/>
        <w:rPr>
          <w:rFonts w:eastAsiaTheme="minorHAnsi" w:cstheme="minorHAnsi"/>
          <w:lang w:val="hu-HU"/>
        </w:rPr>
      </w:pPr>
    </w:p>
    <w:p w14:paraId="542F8BDD" w14:textId="6A1332E2" w:rsidR="00E415DF" w:rsidRPr="00443B6F" w:rsidRDefault="00E415DF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lastRenderedPageBreak/>
        <w:t xml:space="preserve">Mindazonáltal néhány </w:t>
      </w:r>
      <w:r w:rsidR="00972BE0" w:rsidRPr="00443B6F">
        <w:rPr>
          <w:rFonts w:eastAsiaTheme="minorHAnsi" w:cstheme="minorHAnsi"/>
          <w:lang w:val="hu-HU"/>
        </w:rPr>
        <w:t xml:space="preserve">megfontolandó szempontot </w:t>
      </w:r>
      <w:r w:rsidR="00301EB4" w:rsidRPr="00443B6F">
        <w:rPr>
          <w:rFonts w:eastAsiaTheme="minorHAnsi" w:cstheme="minorHAnsi"/>
          <w:lang w:val="hu-HU"/>
        </w:rPr>
        <w:t xml:space="preserve">szükséges </w:t>
      </w:r>
      <w:r w:rsidR="00972BE0" w:rsidRPr="00443B6F">
        <w:rPr>
          <w:rFonts w:eastAsiaTheme="minorHAnsi" w:cstheme="minorHAnsi"/>
          <w:lang w:val="hu-HU"/>
        </w:rPr>
        <w:t xml:space="preserve">hangsúlyoznunk. </w:t>
      </w:r>
      <w:r w:rsidRPr="00443B6F">
        <w:rPr>
          <w:rFonts w:eastAsiaTheme="minorHAnsi" w:cstheme="minorHAnsi"/>
          <w:lang w:val="hu-HU"/>
        </w:rPr>
        <w:t>Lényeges különbséget tennünk a “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biztosítási szerződés</w:t>
      </w:r>
      <w:r w:rsidRPr="00443B6F">
        <w:rPr>
          <w:rFonts w:eastAsiaTheme="minorHAnsi" w:cstheme="minorHAnsi"/>
          <w:lang w:val="hu-HU"/>
        </w:rPr>
        <w:t xml:space="preserve">” és a “biztosítási termék” között. A vizsgálatot, </w:t>
      </w:r>
      <w:r w:rsidR="00301EB4" w:rsidRPr="00443B6F">
        <w:rPr>
          <w:rFonts w:eastAsiaTheme="minorHAnsi" w:cstheme="minorHAnsi"/>
          <w:lang w:val="hu-HU"/>
        </w:rPr>
        <w:t>miszerint</w:t>
      </w:r>
      <w:r w:rsidRPr="00443B6F">
        <w:rPr>
          <w:rFonts w:eastAsiaTheme="minorHAnsi" w:cstheme="minorHAnsi"/>
          <w:lang w:val="hu-HU"/>
        </w:rPr>
        <w:t xml:space="preserve"> valami biztosítási szerződésnek minősül-e – a biztosítási szerződés </w:t>
      </w:r>
      <w:r w:rsidR="00FB0EB5" w:rsidRPr="00443B6F">
        <w:rPr>
          <w:rFonts w:eastAsiaTheme="minorHAnsi" w:cstheme="minorHAnsi"/>
          <w:lang w:val="hu-HU"/>
        </w:rPr>
        <w:t xml:space="preserve">szabványban megfogalmazott </w:t>
      </w:r>
      <w:r w:rsidRPr="00443B6F">
        <w:rPr>
          <w:rFonts w:eastAsiaTheme="minorHAnsi" w:cstheme="minorHAnsi"/>
          <w:lang w:val="hu-HU"/>
        </w:rPr>
        <w:t>definíciójából következően – szerződés-szinten, nem pedig a szerződés</w:t>
      </w:r>
      <w:r w:rsidR="003F3F5C" w:rsidRPr="00443B6F">
        <w:rPr>
          <w:rFonts w:eastAsiaTheme="minorHAnsi" w:cstheme="minorHAnsi"/>
          <w:lang w:val="hu-HU"/>
        </w:rPr>
        <w:t>ek egy csoportja/</w:t>
      </w:r>
      <w:r w:rsidRPr="00443B6F">
        <w:rPr>
          <w:rFonts w:eastAsiaTheme="minorHAnsi" w:cstheme="minorHAnsi"/>
          <w:lang w:val="hu-HU"/>
        </w:rPr>
        <w:t>portfolió</w:t>
      </w:r>
      <w:r w:rsidR="003F3F5C" w:rsidRPr="00443B6F">
        <w:rPr>
          <w:rFonts w:eastAsiaTheme="minorHAnsi" w:cstheme="minorHAnsi"/>
          <w:lang w:val="hu-HU"/>
        </w:rPr>
        <w:t>ja</w:t>
      </w:r>
      <w:r w:rsidRPr="00443B6F">
        <w:rPr>
          <w:rFonts w:eastAsiaTheme="minorHAnsi" w:cstheme="minorHAnsi"/>
          <w:lang w:val="hu-HU"/>
        </w:rPr>
        <w:t xml:space="preserve"> vagy a termék szintjén</w:t>
      </w:r>
      <w:r w:rsidR="00DD33C1" w:rsidRPr="00443B6F">
        <w:rPr>
          <w:rFonts w:eastAsiaTheme="minorHAnsi" w:cstheme="minorHAnsi"/>
          <w:lang w:val="hu-HU"/>
        </w:rPr>
        <w:t xml:space="preserve"> kell elvégezni</w:t>
      </w:r>
      <w:r w:rsidRPr="00443B6F">
        <w:rPr>
          <w:rFonts w:eastAsiaTheme="minorHAnsi" w:cstheme="minorHAnsi"/>
          <w:lang w:val="hu-HU"/>
        </w:rPr>
        <w:t>.</w:t>
      </w:r>
      <w:r w:rsidR="00C25660" w:rsidRPr="00443B6F">
        <w:rPr>
          <w:rFonts w:eastAsiaTheme="minorHAnsi" w:cstheme="minorHAnsi"/>
          <w:lang w:val="hu-HU"/>
        </w:rPr>
        <w:t xml:space="preserve"> A vizsgálatot, hogy egy szerződés biztosításnak minősülhet-e a szerződés létrejöttekor, a </w:t>
      </w:r>
      <w:r w:rsidR="00C25660" w:rsidRPr="00443B6F">
        <w:rPr>
          <w:rFonts w:eastAsiaTheme="minorHAnsi" w:cstheme="minorHAnsi"/>
          <w:color w:val="548DD4" w:themeColor="text2" w:themeTint="99"/>
          <w:lang w:val="hu-HU"/>
        </w:rPr>
        <w:t>kezdeti megjelenítéskor</w:t>
      </w:r>
      <w:r w:rsidR="00C25660" w:rsidRPr="00443B6F">
        <w:rPr>
          <w:rFonts w:eastAsiaTheme="minorHAnsi" w:cstheme="minorHAnsi"/>
          <w:lang w:val="hu-HU"/>
        </w:rPr>
        <w:t xml:space="preserve"> kell elvégezni</w:t>
      </w:r>
      <w:r w:rsidR="00E76564" w:rsidRPr="00443B6F">
        <w:rPr>
          <w:rFonts w:eastAsiaTheme="minorHAnsi" w:cstheme="minorHAnsi"/>
          <w:lang w:val="hu-HU"/>
        </w:rPr>
        <w:t xml:space="preserve"> és ez a döntés visszavonhatatlan. Akkor se változik a szerződés besorolása, ha szerződés élete során a biztosítási kockázat mértéke változik. Egy szerződés besorolás</w:t>
      </w:r>
      <w:r w:rsidR="00247603" w:rsidRPr="00443B6F">
        <w:rPr>
          <w:rFonts w:eastAsiaTheme="minorHAnsi" w:cstheme="minorHAnsi"/>
          <w:lang w:val="hu-HU"/>
        </w:rPr>
        <w:t>át</w:t>
      </w:r>
      <w:r w:rsidR="00E76564" w:rsidRPr="00443B6F">
        <w:rPr>
          <w:rFonts w:eastAsiaTheme="minorHAnsi" w:cstheme="minorHAnsi"/>
          <w:lang w:val="hu-HU"/>
        </w:rPr>
        <w:t xml:space="preserve"> csak akkor lehet felülvizsgálni, ha a szerződést a felek módosították. </w:t>
      </w:r>
    </w:p>
    <w:p w14:paraId="58C479CD" w14:textId="77777777" w:rsidR="000B347E" w:rsidRPr="00443B6F" w:rsidRDefault="000B347E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5F00E38F" w14:textId="5A99B4D3" w:rsidR="0049471A" w:rsidRPr="00443B6F" w:rsidRDefault="00DD33C1" w:rsidP="000E5A27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 w:cstheme="minorHAnsi"/>
          <w:lang w:val="hu-HU"/>
        </w:rPr>
        <w:t>A d</w:t>
      </w:r>
      <w:r w:rsidR="00972BE0" w:rsidRPr="00443B6F">
        <w:rPr>
          <w:rFonts w:eastAsiaTheme="minorHAnsi" w:cstheme="minorHAnsi"/>
          <w:lang w:val="hu-HU"/>
        </w:rPr>
        <w:t xml:space="preserve">efiníció szerint </w:t>
      </w:r>
      <w:r w:rsidR="00972BE0" w:rsidRPr="00443B6F">
        <w:rPr>
          <w:rFonts w:eastAsiaTheme="minorHAnsi" w:cstheme="minorHAnsi"/>
          <w:color w:val="548DD4" w:themeColor="text2" w:themeTint="99"/>
          <w:lang w:val="hu-HU"/>
        </w:rPr>
        <w:t>biztosítási szerződésnek</w:t>
      </w:r>
      <w:r w:rsidR="00972BE0" w:rsidRPr="00443B6F">
        <w:rPr>
          <w:rFonts w:eastAsiaTheme="minorHAnsi" w:cstheme="minorHAnsi"/>
          <w:lang w:val="hu-HU"/>
        </w:rPr>
        <w:t xml:space="preserve"> minősül az a szerződés, melyben a kibocsátó fél jelentős biztosítási kockázatot vállal át a kötvénytulajdonostól azáltal, hogy a kötvénytulajdonost k</w:t>
      </w:r>
      <w:r w:rsidR="002B7372" w:rsidRPr="00443B6F">
        <w:rPr>
          <w:rFonts w:eastAsiaTheme="minorHAnsi" w:cstheme="minorHAnsi"/>
          <w:lang w:val="hu-HU"/>
        </w:rPr>
        <w:t>ártalanítja</w:t>
      </w:r>
      <w:r w:rsidR="00FB0EB5" w:rsidRPr="00443B6F">
        <w:rPr>
          <w:rFonts w:eastAsiaTheme="minorHAnsi" w:cstheme="minorHAnsi"/>
          <w:lang w:val="hu-HU"/>
        </w:rPr>
        <w:t>,</w:t>
      </w:r>
      <w:r w:rsidR="00972BE0" w:rsidRPr="00443B6F">
        <w:rPr>
          <w:rFonts w:eastAsiaTheme="minorHAnsi" w:cstheme="minorHAnsi"/>
          <w:lang w:val="hu-HU"/>
        </w:rPr>
        <w:t xml:space="preserve"> </w:t>
      </w:r>
      <w:r w:rsidR="002B7372" w:rsidRPr="00443B6F">
        <w:rPr>
          <w:rFonts w:eastAsiaTheme="minorHAnsi" w:cstheme="minorHAnsi"/>
          <w:lang w:val="hu-HU"/>
        </w:rPr>
        <w:t>amennyiben</w:t>
      </w:r>
      <w:r w:rsidR="00972BE0" w:rsidRPr="00443B6F">
        <w:rPr>
          <w:rFonts w:eastAsiaTheme="minorHAnsi" w:cstheme="minorHAnsi"/>
          <w:lang w:val="hu-HU"/>
        </w:rPr>
        <w:t xml:space="preserve"> egy meghatározott</w:t>
      </w:r>
      <w:r w:rsidR="002B7372" w:rsidRPr="00443B6F">
        <w:rPr>
          <w:rFonts w:eastAsiaTheme="minorHAnsi" w:cstheme="minorHAnsi"/>
          <w:lang w:val="hu-HU"/>
        </w:rPr>
        <w:t>, a kötvén</w:t>
      </w:r>
      <w:r w:rsidR="002D5666" w:rsidRPr="00443B6F">
        <w:rPr>
          <w:rFonts w:eastAsiaTheme="minorHAnsi" w:cstheme="minorHAnsi"/>
          <w:lang w:val="hu-HU"/>
        </w:rPr>
        <w:t>y</w:t>
      </w:r>
      <w:r w:rsidR="002B7372" w:rsidRPr="00443B6F">
        <w:rPr>
          <w:rFonts w:eastAsiaTheme="minorHAnsi" w:cstheme="minorHAnsi"/>
          <w:lang w:val="hu-HU"/>
        </w:rPr>
        <w:t>tulajdonost kedvezőtlenül érintő,</w:t>
      </w:r>
      <w:r w:rsidR="00972BE0" w:rsidRPr="00443B6F">
        <w:rPr>
          <w:rFonts w:eastAsiaTheme="minorHAnsi" w:cstheme="minorHAnsi"/>
          <w:lang w:val="hu-HU"/>
        </w:rPr>
        <w:t xml:space="preserve"> bizonytalan jövőbeli esemény</w:t>
      </w:r>
      <w:r w:rsidR="002B7372" w:rsidRPr="00443B6F">
        <w:rPr>
          <w:rFonts w:eastAsiaTheme="minorHAnsi" w:cstheme="minorHAnsi"/>
          <w:lang w:val="hu-HU"/>
        </w:rPr>
        <w:t xml:space="preserve"> </w:t>
      </w:r>
      <w:r w:rsidR="00972BE0" w:rsidRPr="00443B6F">
        <w:rPr>
          <w:rFonts w:eastAsiaTheme="minorHAnsi" w:cstheme="minorHAnsi"/>
          <w:lang w:val="hu-HU"/>
        </w:rPr>
        <w:t>bekövetkezik</w:t>
      </w:r>
      <w:r w:rsidR="002B7372" w:rsidRPr="00443B6F">
        <w:rPr>
          <w:rFonts w:eastAsiaTheme="minorHAnsi" w:cstheme="minorHAnsi"/>
          <w:lang w:val="hu-HU"/>
        </w:rPr>
        <w:t>.</w:t>
      </w:r>
      <w:r w:rsidR="000F4783" w:rsidRPr="00443B6F">
        <w:rPr>
          <w:rFonts w:eastAsiaTheme="minorHAnsi" w:cstheme="minorHAnsi"/>
          <w:lang w:val="hu-HU"/>
        </w:rPr>
        <w:t xml:space="preserve"> </w:t>
      </w:r>
      <w:r w:rsidR="000F4783" w:rsidRPr="00443B6F">
        <w:rPr>
          <w:rFonts w:eastAsiaTheme="minorHAnsi" w:cstheme="minorHAnsi"/>
          <w:color w:val="548DD4" w:themeColor="text2" w:themeTint="99"/>
          <w:lang w:val="hu-HU"/>
        </w:rPr>
        <w:t>Biztosítási kockázat</w:t>
      </w:r>
      <w:r w:rsidR="000F4783" w:rsidRPr="00443B6F">
        <w:rPr>
          <w:rFonts w:eastAsiaTheme="minorHAnsi" w:cstheme="minorHAnsi"/>
          <w:lang w:val="hu-HU"/>
        </w:rPr>
        <w:t xml:space="preserve"> alatt a </w:t>
      </w:r>
      <w:r w:rsidR="00FB0EB5" w:rsidRPr="00443B6F">
        <w:rPr>
          <w:rFonts w:eastAsiaTheme="minorHAnsi" w:cstheme="minorHAnsi"/>
          <w:lang w:val="hu-HU"/>
        </w:rPr>
        <w:t xml:space="preserve">szerződőtől </w:t>
      </w:r>
      <w:r w:rsidR="000F4783" w:rsidRPr="00443B6F">
        <w:rPr>
          <w:rFonts w:eastAsiaTheme="minorHAnsi" w:cstheme="minorHAnsi"/>
          <w:lang w:val="hu-HU"/>
        </w:rPr>
        <w:t xml:space="preserve">a kibocsátóhoz került </w:t>
      </w:r>
      <w:r w:rsidR="000F4783" w:rsidRPr="00443B6F">
        <w:rPr>
          <w:rFonts w:eastAsiaTheme="minorHAnsi" w:cstheme="minorHAnsi"/>
          <w:color w:val="548DD4" w:themeColor="text2" w:themeTint="99"/>
          <w:lang w:val="hu-HU"/>
        </w:rPr>
        <w:t>nem pénzügyi kockázatot</w:t>
      </w:r>
      <w:r w:rsidR="000F4783" w:rsidRPr="00443B6F">
        <w:rPr>
          <w:rFonts w:eastAsiaTheme="minorHAnsi" w:cstheme="minorHAnsi"/>
          <w:lang w:val="hu-HU"/>
        </w:rPr>
        <w:t xml:space="preserve"> ért</w:t>
      </w:r>
      <w:r w:rsidRPr="00443B6F">
        <w:rPr>
          <w:rFonts w:eastAsiaTheme="minorHAnsi" w:cstheme="minorHAnsi"/>
          <w:lang w:val="hu-HU"/>
        </w:rPr>
        <w:t>j</w:t>
      </w:r>
      <w:r w:rsidR="000F4783" w:rsidRPr="00443B6F">
        <w:rPr>
          <w:rFonts w:eastAsiaTheme="minorHAnsi" w:cstheme="minorHAnsi"/>
          <w:lang w:val="hu-HU"/>
        </w:rPr>
        <w:t>ük.</w:t>
      </w:r>
    </w:p>
    <w:p w14:paraId="4026C30F" w14:textId="77777777" w:rsidR="0049471A" w:rsidRPr="00443B6F" w:rsidRDefault="0049471A" w:rsidP="00E415DF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2A15F5AF" w14:textId="77777777" w:rsidR="00972BE0" w:rsidRPr="00443B6F" w:rsidRDefault="00972BE0" w:rsidP="000E5A27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Fonts w:eastAsiaTheme="minorHAnsi"/>
          <w:bCs/>
          <w:iCs/>
          <w:lang w:val="hu-HU"/>
        </w:rPr>
        <w:t>A szerződések vizsgálata során a következőket kell szem előtt tartanunk:</w:t>
      </w:r>
    </w:p>
    <w:p w14:paraId="277F0F3F" w14:textId="4853DE48" w:rsidR="00972BE0" w:rsidRPr="00443B6F" w:rsidRDefault="00972BE0" w:rsidP="000E5A27">
      <w:pPr>
        <w:pStyle w:val="ListParagraph"/>
        <w:numPr>
          <w:ilvl w:val="0"/>
          <w:numId w:val="35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szerződéseket az ügyféltől átvállalt kockázat szempontjából </w:t>
      </w:r>
      <w:r w:rsidR="00592205" w:rsidRPr="00443B6F">
        <w:rPr>
          <w:rFonts w:eastAsiaTheme="minorHAnsi"/>
          <w:lang w:val="hu-HU"/>
        </w:rPr>
        <w:t>kell megvizsgálni</w:t>
      </w:r>
      <w:r w:rsidRPr="00443B6F">
        <w:rPr>
          <w:rFonts w:eastAsiaTheme="minorHAnsi"/>
          <w:lang w:val="hu-HU"/>
        </w:rPr>
        <w:t xml:space="preserve">, azaz olyan kockázatokat vehetünk figyelembe, melyek a szerződés meglététől függetlenül </w:t>
      </w:r>
      <w:r w:rsidR="00FB0EB5" w:rsidRPr="00443B6F">
        <w:rPr>
          <w:rFonts w:eastAsiaTheme="minorHAnsi"/>
          <w:lang w:val="hu-HU"/>
        </w:rPr>
        <w:t>érintik az ügyfelet</w:t>
      </w:r>
      <w:r w:rsidRPr="00443B6F">
        <w:rPr>
          <w:rFonts w:eastAsiaTheme="minorHAnsi"/>
          <w:lang w:val="hu-HU"/>
        </w:rPr>
        <w:t xml:space="preserve">. A szerződés által létrehozott </w:t>
      </w:r>
      <w:r w:rsidR="00951262" w:rsidRPr="00443B6F">
        <w:rPr>
          <w:rFonts w:eastAsiaTheme="minorHAnsi"/>
          <w:lang w:val="hu-HU"/>
        </w:rPr>
        <w:t xml:space="preserve">nem pénzügyi </w:t>
      </w:r>
      <w:r w:rsidRPr="00443B6F">
        <w:rPr>
          <w:rFonts w:eastAsiaTheme="minorHAnsi"/>
          <w:lang w:val="hu-HU"/>
        </w:rPr>
        <w:t xml:space="preserve">kockázatok nem minősülnek átvállalt </w:t>
      </w:r>
      <w:r w:rsidR="00682F9F" w:rsidRPr="00443B6F">
        <w:rPr>
          <w:rFonts w:eastAsiaTheme="minorHAnsi"/>
          <w:lang w:val="hu-HU"/>
        </w:rPr>
        <w:t xml:space="preserve">biztosítási </w:t>
      </w:r>
      <w:r w:rsidRPr="00443B6F">
        <w:rPr>
          <w:rFonts w:eastAsiaTheme="minorHAnsi"/>
          <w:lang w:val="hu-HU"/>
        </w:rPr>
        <w:t>kockázatnak.</w:t>
      </w:r>
    </w:p>
    <w:p w14:paraId="5078A11A" w14:textId="7DD0EAFC" w:rsidR="00972BE0" w:rsidRPr="00443B6F" w:rsidRDefault="003232B2" w:rsidP="000E5A27">
      <w:pPr>
        <w:pStyle w:val="ListParagraph"/>
        <w:numPr>
          <w:ilvl w:val="0"/>
          <w:numId w:val="35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>Annak meghatározásához, hogy egy adott kockázat jelentős-e vagy sem</w:t>
      </w:r>
      <w:r w:rsidR="00814A94" w:rsidRPr="00443B6F">
        <w:rPr>
          <w:rFonts w:eastAsiaTheme="minorHAnsi"/>
          <w:lang w:val="hu-HU"/>
        </w:rPr>
        <w:t>,</w:t>
      </w:r>
      <w:r w:rsidRPr="00443B6F">
        <w:rPr>
          <w:rFonts w:eastAsiaTheme="minorHAnsi"/>
          <w:lang w:val="hu-HU"/>
        </w:rPr>
        <w:t xml:space="preserve"> 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szerződéses</w:t>
      </w:r>
      <w:r w:rsidRPr="00443B6F">
        <w:rPr>
          <w:rFonts w:eastAsiaTheme="minorHAnsi"/>
          <w:lang w:val="hu-HU"/>
        </w:rPr>
        <w:t xml:space="preserve">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pénzáramok</w:t>
      </w:r>
      <w:r w:rsidRPr="00443B6F">
        <w:rPr>
          <w:rFonts w:eastAsiaTheme="minorHAnsi"/>
          <w:lang w:val="hu-HU"/>
        </w:rPr>
        <w:t xml:space="preserve"> különböző szcenáriókon történő vizsgálata nyújthat segítséget. Ha p</w:t>
      </w:r>
      <w:r w:rsidR="00DD33C1" w:rsidRPr="00443B6F">
        <w:rPr>
          <w:rFonts w:eastAsiaTheme="minorHAnsi"/>
          <w:lang w:val="hu-HU"/>
        </w:rPr>
        <w:t>é</w:t>
      </w:r>
      <w:r w:rsidRPr="00443B6F">
        <w:rPr>
          <w:rFonts w:eastAsiaTheme="minorHAnsi"/>
          <w:lang w:val="hu-HU"/>
        </w:rPr>
        <w:t>l</w:t>
      </w:r>
      <w:r w:rsidR="00DD33C1" w:rsidRPr="00443B6F">
        <w:rPr>
          <w:rFonts w:eastAsiaTheme="minorHAnsi"/>
          <w:lang w:val="hu-HU"/>
        </w:rPr>
        <w:t>dául</w:t>
      </w:r>
      <w:r w:rsidRPr="00443B6F">
        <w:rPr>
          <w:rFonts w:eastAsiaTheme="minorHAnsi"/>
          <w:lang w:val="hu-HU"/>
        </w:rPr>
        <w:t xml:space="preserve"> egy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szerződés</w:t>
      </w:r>
      <w:r w:rsidRPr="00443B6F">
        <w:rPr>
          <w:rFonts w:eastAsiaTheme="minorHAnsi"/>
          <w:lang w:val="hu-HU"/>
        </w:rPr>
        <w:t xml:space="preserve">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pénzáramait</w:t>
      </w:r>
      <w:r w:rsidRPr="00443B6F">
        <w:rPr>
          <w:rFonts w:eastAsiaTheme="minorHAnsi"/>
          <w:lang w:val="hu-HU"/>
        </w:rPr>
        <w:t xml:space="preserve"> összehasonlítjuk az első évben a biztosítási esemény bekövetkezése esetén (első szcenárió) és a biztosítási esemény be nem következése esetén (második szcenárió) és a két </w:t>
      </w:r>
      <w:r w:rsidR="00A8701E" w:rsidRPr="00443B6F">
        <w:rPr>
          <w:rFonts w:eastAsiaTheme="minorHAnsi" w:cstheme="minorHAnsi"/>
          <w:color w:val="548DD4" w:themeColor="text2" w:themeTint="99"/>
          <w:lang w:val="hu-HU"/>
        </w:rPr>
        <w:t>teljesítési</w:t>
      </w:r>
      <w:r w:rsidR="00A8701E" w:rsidRPr="00443B6F">
        <w:rPr>
          <w:rFonts w:eastAsiaTheme="minorHAnsi"/>
          <w:lang w:val="hu-HU"/>
        </w:rPr>
        <w:t xml:space="preserve">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pénzáram</w:t>
      </w:r>
      <w:r w:rsidRPr="00443B6F">
        <w:rPr>
          <w:rFonts w:eastAsiaTheme="minorHAnsi"/>
          <w:lang w:val="hu-HU"/>
        </w:rPr>
        <w:t xml:space="preserve"> között jelentős különbséget tapasztalunk, az jelezheti jelentős biztosítási kockázat meglétét. Fontos kiemelnünk, hogy természetesen nem egy adott kockázati tényező mértéke, bekövetkezési valószínűsége a vizsgálat tárgya</w:t>
      </w:r>
      <w:r w:rsidR="00DF42AC" w:rsidRPr="00443B6F">
        <w:rPr>
          <w:rFonts w:eastAsiaTheme="minorHAnsi"/>
          <w:lang w:val="hu-HU"/>
        </w:rPr>
        <w:t>, azonban a bekövetkezésnek kell</w:t>
      </w:r>
      <w:r w:rsidR="00814A94" w:rsidRPr="00443B6F">
        <w:rPr>
          <w:rFonts w:eastAsiaTheme="minorHAnsi"/>
          <w:lang w:val="hu-HU"/>
        </w:rPr>
        <w:t>,</w:t>
      </w:r>
      <w:r w:rsidR="00DF42AC" w:rsidRPr="00443B6F">
        <w:rPr>
          <w:rFonts w:eastAsiaTheme="minorHAnsi"/>
          <w:lang w:val="hu-HU"/>
        </w:rPr>
        <w:t xml:space="preserve"> hogy legyen racionalitása</w:t>
      </w:r>
      <w:r w:rsidRPr="00443B6F">
        <w:rPr>
          <w:rFonts w:eastAsiaTheme="minorHAnsi"/>
          <w:lang w:val="hu-HU"/>
        </w:rPr>
        <w:t>.</w:t>
      </w:r>
    </w:p>
    <w:p w14:paraId="1A5CFB37" w14:textId="5552639D" w:rsidR="00DF42AC" w:rsidRPr="00443B6F" w:rsidRDefault="00DF42AC" w:rsidP="000E5A27">
      <w:pPr>
        <w:pStyle w:val="ListParagraph"/>
        <w:numPr>
          <w:ilvl w:val="0"/>
          <w:numId w:val="35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Az előző pontban említett, a biztosítási esemény bekövetkezése miatti többletkifizetés vizsgálatakor a </w:t>
      </w:r>
      <w:r w:rsidR="00A8701E" w:rsidRPr="00443B6F">
        <w:rPr>
          <w:rFonts w:eastAsiaTheme="minorHAnsi" w:cstheme="minorHAnsi"/>
          <w:color w:val="548DD4" w:themeColor="text2" w:themeTint="99"/>
          <w:lang w:val="hu-HU"/>
        </w:rPr>
        <w:t>szerződéses</w:t>
      </w:r>
      <w:r w:rsidR="00A8701E" w:rsidRPr="00443B6F">
        <w:rPr>
          <w:rFonts w:eastAsiaTheme="minorHAnsi"/>
          <w:lang w:val="hu-HU"/>
        </w:rPr>
        <w:t xml:space="preserve">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pénzáramokat</w:t>
      </w:r>
      <w:r w:rsidRPr="00443B6F">
        <w:rPr>
          <w:rFonts w:eastAsiaTheme="minorHAnsi"/>
          <w:lang w:val="hu-HU"/>
        </w:rPr>
        <w:t xml:space="preserve"> jelenértéken kell összehasonlítani.</w:t>
      </w:r>
    </w:p>
    <w:p w14:paraId="3EC94BA5" w14:textId="548354DC" w:rsidR="003232B2" w:rsidRPr="00443B6F" w:rsidRDefault="00E0298D" w:rsidP="000E5A27">
      <w:pPr>
        <w:pStyle w:val="ListParagraph"/>
        <w:numPr>
          <w:ilvl w:val="0"/>
          <w:numId w:val="35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>Mivel szerződéseket vizsgálunk</w:t>
      </w:r>
      <w:r w:rsidR="00C24EB4" w:rsidRPr="00443B6F">
        <w:rPr>
          <w:rFonts w:eastAsiaTheme="minorHAnsi"/>
          <w:lang w:val="hu-HU"/>
        </w:rPr>
        <w:t>,</w:t>
      </w:r>
      <w:r w:rsidRPr="00443B6F">
        <w:rPr>
          <w:rFonts w:eastAsiaTheme="minorHAnsi"/>
          <w:lang w:val="hu-HU"/>
        </w:rPr>
        <w:t xml:space="preserve"> előfordulhat az, hogy bizonyos szerződéseknél nem </w:t>
      </w:r>
      <w:r w:rsidR="008544FF" w:rsidRPr="00443B6F">
        <w:rPr>
          <w:rFonts w:eastAsiaTheme="minorHAnsi"/>
          <w:lang w:val="hu-HU"/>
        </w:rPr>
        <w:t>mutatható ki</w:t>
      </w:r>
      <w:r w:rsidRPr="00443B6F">
        <w:rPr>
          <w:rFonts w:eastAsiaTheme="minorHAnsi"/>
          <w:lang w:val="hu-HU"/>
        </w:rPr>
        <w:t xml:space="preserve"> jelentős </w:t>
      </w:r>
      <w:r w:rsidR="008544FF" w:rsidRPr="00443B6F">
        <w:rPr>
          <w:rFonts w:eastAsiaTheme="minorHAnsi"/>
          <w:lang w:val="hu-HU"/>
        </w:rPr>
        <w:t>átvállalt biztosítási kockázat</w:t>
      </w:r>
      <w:r w:rsidRPr="00443B6F">
        <w:rPr>
          <w:rFonts w:eastAsiaTheme="minorHAnsi"/>
          <w:lang w:val="hu-HU"/>
        </w:rPr>
        <w:t xml:space="preserve">. </w:t>
      </w:r>
      <w:r w:rsidR="00592205" w:rsidRPr="00443B6F">
        <w:rPr>
          <w:rFonts w:eastAsiaTheme="minorHAnsi"/>
          <w:lang w:val="hu-HU"/>
        </w:rPr>
        <w:t>Gyakorlati szempontokat mérlegelve i</w:t>
      </w:r>
      <w:r w:rsidRPr="00443B6F">
        <w:rPr>
          <w:rFonts w:eastAsiaTheme="minorHAnsi"/>
          <w:lang w:val="hu-HU"/>
        </w:rPr>
        <w:t xml:space="preserve">lyen esetekben vizsgálat tárgyát képezheti ezen szerződések </w:t>
      </w:r>
      <w:proofErr w:type="spellStart"/>
      <w:r w:rsidR="00FB0EB5" w:rsidRPr="00443B6F">
        <w:rPr>
          <w:rFonts w:eastAsiaTheme="minorHAnsi"/>
          <w:lang w:val="hu-HU"/>
        </w:rPr>
        <w:t>materialitása</w:t>
      </w:r>
      <w:proofErr w:type="spellEnd"/>
      <w:r w:rsidRPr="00443B6F">
        <w:rPr>
          <w:rFonts w:eastAsiaTheme="minorHAnsi"/>
          <w:lang w:val="hu-HU"/>
        </w:rPr>
        <w:t>, azaz, hogy a megbízható és valós kép bemutatásához szükséges-e ezen szerződések eltérő kezelése.</w:t>
      </w:r>
    </w:p>
    <w:p w14:paraId="4B67D3AE" w14:textId="77777777" w:rsidR="00AF6204" w:rsidRPr="00443B6F" w:rsidRDefault="00AF6204" w:rsidP="000E5A27">
      <w:pPr>
        <w:pStyle w:val="ListParagraph"/>
        <w:numPr>
          <w:ilvl w:val="0"/>
          <w:numId w:val="35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>A szerződések besorolása határozza meg az értékelésnél alkalmazott elveket és módszereket, ezért fontos az ezt meghatározó szempontokat már a terméktervezés folyamata során mérlegelni.</w:t>
      </w:r>
    </w:p>
    <w:p w14:paraId="27AA1D9D" w14:textId="4C0A3E00" w:rsidR="00FB0EB5" w:rsidRPr="00443B6F" w:rsidRDefault="00FB0EB5" w:rsidP="000E5A27">
      <w:pPr>
        <w:pStyle w:val="ListParagraph"/>
        <w:numPr>
          <w:ilvl w:val="0"/>
          <w:numId w:val="35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>Nem szükséges minden esetben kvantitatív vizsgálatot végezni, hisz bizonyos esetekben a szerződések természetéből</w:t>
      </w:r>
      <w:r w:rsidR="000D34AE" w:rsidRPr="00443B6F">
        <w:rPr>
          <w:rFonts w:eastAsiaTheme="minorHAnsi"/>
          <w:lang w:val="hu-HU"/>
        </w:rPr>
        <w:t xml:space="preserve">, a jogi </w:t>
      </w:r>
      <w:proofErr w:type="gramStart"/>
      <w:r w:rsidR="000D34AE" w:rsidRPr="00443B6F">
        <w:rPr>
          <w:rFonts w:eastAsiaTheme="minorHAnsi"/>
          <w:lang w:val="hu-HU"/>
        </w:rPr>
        <w:t>környezetből</w:t>
      </w:r>
      <w:proofErr w:type="gramEnd"/>
      <w:r w:rsidR="000D34AE" w:rsidRPr="00443B6F">
        <w:rPr>
          <w:rFonts w:eastAsiaTheme="minorHAnsi"/>
          <w:lang w:val="hu-HU"/>
        </w:rPr>
        <w:t xml:space="preserve"> illetve a kötvény-feltételekből</w:t>
      </w:r>
      <w:r w:rsidRPr="00443B6F">
        <w:rPr>
          <w:rFonts w:eastAsiaTheme="minorHAnsi"/>
          <w:lang w:val="hu-HU"/>
        </w:rPr>
        <w:t xml:space="preserve"> kvalitatív vizsgálattal is belátható az, hogy a szerződéssel jelentős biztosítási kockázatot vállal-e a biztosító.</w:t>
      </w:r>
      <w:r w:rsidR="000D34AE" w:rsidRPr="00443B6F">
        <w:rPr>
          <w:rFonts w:eastAsiaTheme="minorHAnsi"/>
          <w:lang w:val="hu-HU"/>
        </w:rPr>
        <w:t xml:space="preserve"> Ha azonban a kvalitatív vizsgálat nem ad kielégítő választ, úgy kvantitatív vizsgálatot kell végezni.</w:t>
      </w:r>
      <w:r w:rsidR="00EF2164" w:rsidRPr="00443B6F">
        <w:rPr>
          <w:rFonts w:eastAsiaTheme="minorHAnsi"/>
          <w:lang w:val="hu-HU"/>
        </w:rPr>
        <w:t xml:space="preserve"> Ez utóbbit azonban nem szükséges minden egyes szerződésre külön </w:t>
      </w:r>
      <w:r w:rsidR="00EF2164" w:rsidRPr="00443B6F">
        <w:rPr>
          <w:rFonts w:eastAsiaTheme="minorHAnsi"/>
          <w:lang w:val="hu-HU"/>
        </w:rPr>
        <w:lastRenderedPageBreak/>
        <w:t>elvégezni: azon szerződések vizsgálata, amelyek az átvállalt kockázat szempontjából hasonlóan viselkednek, összevonhatók.</w:t>
      </w:r>
    </w:p>
    <w:p w14:paraId="693092C6" w14:textId="77777777" w:rsidR="00E415DF" w:rsidRPr="00443B6F" w:rsidRDefault="00E415DF" w:rsidP="00B012C0">
      <w:pPr>
        <w:ind w:firstLine="567"/>
        <w:jc w:val="both"/>
        <w:rPr>
          <w:rFonts w:eastAsiaTheme="minorHAnsi" w:cstheme="minorHAnsi"/>
          <w:lang w:val="hu-HU"/>
        </w:rPr>
      </w:pPr>
    </w:p>
    <w:p w14:paraId="077BAA99" w14:textId="0225C4D6" w:rsidR="00691384" w:rsidRPr="00443B6F" w:rsidRDefault="00691384" w:rsidP="000E5A27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>Az alábbi táblázat</w:t>
      </w:r>
      <w:r w:rsidR="004161DC" w:rsidRPr="00443B6F">
        <w:rPr>
          <w:rFonts w:eastAsiaTheme="minorHAnsi" w:cstheme="minorHAnsi"/>
          <w:lang w:val="hu-HU"/>
        </w:rPr>
        <w:t xml:space="preserve"> foglalj</w:t>
      </w:r>
      <w:r w:rsidR="00DD33C1" w:rsidRPr="00443B6F">
        <w:rPr>
          <w:rFonts w:eastAsiaTheme="minorHAnsi" w:cstheme="minorHAnsi"/>
          <w:lang w:val="hu-HU"/>
        </w:rPr>
        <w:t>a</w:t>
      </w:r>
      <w:r w:rsidRPr="00443B6F">
        <w:rPr>
          <w:rFonts w:eastAsiaTheme="minorHAnsi" w:cstheme="minorHAnsi"/>
          <w:lang w:val="hu-HU"/>
        </w:rPr>
        <w:t xml:space="preserve"> </w:t>
      </w:r>
      <w:r w:rsidR="00DD33C1" w:rsidRPr="00443B6F">
        <w:rPr>
          <w:rFonts w:eastAsiaTheme="minorHAnsi" w:cstheme="minorHAnsi"/>
          <w:lang w:val="hu-HU"/>
        </w:rPr>
        <w:t xml:space="preserve">össze </w:t>
      </w:r>
      <w:r w:rsidRPr="00443B6F">
        <w:rPr>
          <w:rFonts w:eastAsiaTheme="minorHAnsi" w:cstheme="minorHAnsi"/>
          <w:lang w:val="hu-HU"/>
        </w:rPr>
        <w:t>a</w:t>
      </w:r>
      <w:r w:rsidR="00592205" w:rsidRPr="00443B6F">
        <w:rPr>
          <w:rFonts w:eastAsiaTheme="minorHAnsi" w:cstheme="minorHAnsi"/>
          <w:lang w:val="hu-HU"/>
        </w:rPr>
        <w:t xml:space="preserve"> szabványban is szereplő, a </w:t>
      </w:r>
      <w:r w:rsidR="00592205" w:rsidRPr="00443B6F">
        <w:rPr>
          <w:rFonts w:eastAsiaTheme="minorHAnsi" w:cstheme="minorHAnsi"/>
          <w:color w:val="548DD4" w:themeColor="text2" w:themeTint="99"/>
          <w:lang w:val="hu-HU"/>
        </w:rPr>
        <w:t>szerződések besorolása</w:t>
      </w:r>
      <w:r w:rsidR="00592205" w:rsidRPr="00443B6F">
        <w:rPr>
          <w:rFonts w:eastAsiaTheme="minorHAnsi" w:cstheme="minorHAnsi"/>
          <w:lang w:val="hu-HU"/>
        </w:rPr>
        <w:t xml:space="preserve"> tekintetében releváns példákat</w:t>
      </w:r>
      <w:r w:rsidR="00E415DF" w:rsidRPr="00443B6F">
        <w:rPr>
          <w:rFonts w:eastAsiaTheme="minorHAnsi" w:cstheme="minorHAnsi"/>
          <w:lang w:val="hu-HU"/>
        </w:rPr>
        <w:t>.</w:t>
      </w:r>
    </w:p>
    <w:p w14:paraId="426FF468" w14:textId="77777777" w:rsidR="0049471A" w:rsidRPr="00443B6F" w:rsidRDefault="0049471A">
      <w:pPr>
        <w:spacing w:after="20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br w:type="page"/>
      </w:r>
    </w:p>
    <w:p w14:paraId="5C001B09" w14:textId="106A521B" w:rsidR="00A074BC" w:rsidRPr="00443B6F" w:rsidRDefault="00A074BC" w:rsidP="00691384">
      <w:pPr>
        <w:ind w:left="-142" w:firstLine="0"/>
        <w:jc w:val="both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lastRenderedPageBreak/>
        <w:t>Példák biztosítási szerződésekre (</w:t>
      </w:r>
      <w:r w:rsidR="00814A94" w:rsidRPr="00443B6F">
        <w:rPr>
          <w:rStyle w:val="BookTitle"/>
          <w:rFonts w:cstheme="minorHAnsi"/>
          <w:b w:val="0"/>
          <w:i w:val="0"/>
          <w:lang w:val="hu-HU"/>
        </w:rPr>
        <w:t xml:space="preserve">amennyiben 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az átadott biztosítási </w:t>
      </w:r>
      <w:r w:rsidRPr="00443B6F">
        <w:rPr>
          <w:rFonts w:eastAsiaTheme="minorHAnsi"/>
          <w:bCs/>
          <w:iCs/>
          <w:color w:val="548DD4" w:themeColor="text2" w:themeTint="99"/>
          <w:lang w:val="hu-HU"/>
        </w:rPr>
        <w:t>kockázat szignifikáns</w:t>
      </w:r>
      <w:r w:rsidRPr="00443B6F">
        <w:rPr>
          <w:rStyle w:val="BookTitle"/>
          <w:rFonts w:cstheme="minorHAnsi"/>
          <w:b w:val="0"/>
          <w:i w:val="0"/>
          <w:lang w:val="hu-HU"/>
        </w:rPr>
        <w:t>)</w:t>
      </w:r>
      <w:r w:rsidR="00E415DF" w:rsidRPr="00443B6F">
        <w:rPr>
          <w:rStyle w:val="FootnoteReference"/>
          <w:rFonts w:asciiTheme="majorHAnsi" w:eastAsiaTheme="majorEastAsia" w:hAnsiTheme="majorHAnsi" w:cstheme="minorHAnsi"/>
          <w:bCs/>
          <w:iCs/>
          <w:lang w:val="hu-HU"/>
        </w:rPr>
        <w:footnoteReference w:id="3"/>
      </w:r>
    </w:p>
    <w:p w14:paraId="0B1A1FA2" w14:textId="77777777" w:rsidR="00DD33C1" w:rsidRPr="00443B6F" w:rsidRDefault="00DD33C1" w:rsidP="00691384">
      <w:pPr>
        <w:ind w:left="-142" w:firstLine="0"/>
        <w:jc w:val="both"/>
        <w:rPr>
          <w:rStyle w:val="BookTitle"/>
          <w:rFonts w:cstheme="minorHAnsi"/>
          <w:b w:val="0"/>
          <w:i w:val="0"/>
          <w:lang w:val="hu-HU"/>
        </w:rPr>
      </w:pPr>
    </w:p>
    <w:tbl>
      <w:tblPr>
        <w:tblStyle w:val="LightList-Accent12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074BC" w:rsidRPr="00443B6F" w14:paraId="7FDC9609" w14:textId="77777777" w:rsidTr="00983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43C4AE5" w14:textId="77777777" w:rsidR="00A074BC" w:rsidRPr="00443B6F" w:rsidRDefault="006624A6" w:rsidP="00B012C0">
            <w:pPr>
              <w:ind w:firstLine="567"/>
              <w:jc w:val="both"/>
              <w:rPr>
                <w:rStyle w:val="BookTitle"/>
                <w:rFonts w:cstheme="minorHAnsi"/>
                <w:b/>
                <w:i w:val="0"/>
                <w:color w:val="FFFFFF" w:themeColor="background1"/>
                <w:lang w:val="hu-HU"/>
              </w:rPr>
            </w:pPr>
            <w:r w:rsidRPr="00443B6F">
              <w:rPr>
                <w:rStyle w:val="BookTitle"/>
                <w:rFonts w:cstheme="minorHAnsi"/>
                <w:b/>
                <w:color w:val="FFFFFF" w:themeColor="background1"/>
                <w:lang w:val="hu-HU"/>
              </w:rPr>
              <w:t>Leírás</w:t>
            </w:r>
          </w:p>
        </w:tc>
        <w:tc>
          <w:tcPr>
            <w:tcW w:w="5244" w:type="dxa"/>
          </w:tcPr>
          <w:p w14:paraId="1811D9C8" w14:textId="77777777" w:rsidR="00A074BC" w:rsidRPr="00443B6F" w:rsidRDefault="006624A6" w:rsidP="006624A6">
            <w:pPr>
              <w:ind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/>
                <w:i w:val="0"/>
                <w:color w:val="FFFFFF" w:themeColor="background1"/>
                <w:lang w:val="hu-HU"/>
              </w:rPr>
            </w:pPr>
            <w:r w:rsidRPr="00443B6F">
              <w:rPr>
                <w:rStyle w:val="BookTitle"/>
                <w:rFonts w:cstheme="minorHAnsi"/>
                <w:b/>
                <w:color w:val="FFFFFF" w:themeColor="background1"/>
                <w:lang w:val="hu-HU"/>
              </w:rPr>
              <w:t>Biztosítási szerződésnek minősül</w:t>
            </w:r>
            <w:r w:rsidR="00325F0C" w:rsidRPr="00443B6F">
              <w:rPr>
                <w:rStyle w:val="BookTitle"/>
                <w:rFonts w:cstheme="minorHAnsi"/>
                <w:b/>
                <w:color w:val="FFFFFF" w:themeColor="background1"/>
                <w:lang w:val="hu-HU"/>
              </w:rPr>
              <w:t>het</w:t>
            </w:r>
            <w:r w:rsidR="00A074BC" w:rsidRPr="00443B6F">
              <w:rPr>
                <w:rStyle w:val="BookTitle"/>
                <w:rFonts w:cstheme="minorHAnsi"/>
                <w:b/>
                <w:color w:val="FFFFFF" w:themeColor="background1"/>
                <w:lang w:val="hu-HU"/>
              </w:rPr>
              <w:t>?</w:t>
            </w:r>
          </w:p>
        </w:tc>
      </w:tr>
      <w:tr w:rsidR="00A074BC" w:rsidRPr="00443B6F" w14:paraId="481F8B4C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C74C2F1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Lopás és sérülés elleni biztosítás</w:t>
            </w:r>
          </w:p>
          <w:p w14:paraId="36677224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against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theft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or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damage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399299B5" w14:textId="77777777" w:rsidR="00A074BC" w:rsidRPr="00443B6F" w:rsidRDefault="006624A6" w:rsidP="006624A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6FD4BC6D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D2FB494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Felelősségbiztosítás</w:t>
            </w:r>
          </w:p>
          <w:p w14:paraId="2A2F8708" w14:textId="77777777" w:rsidR="00A074BC" w:rsidRPr="00443B6F" w:rsidRDefault="006624A6" w:rsidP="00440C9C">
            <w:pPr>
              <w:ind w:firstLine="0"/>
              <w:rPr>
                <w:rStyle w:val="BookTitle"/>
                <w:rFonts w:cstheme="minorHAnsi"/>
                <w:b/>
                <w:bCs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against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product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liability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professional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liability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civil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liability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legal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expenses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7C5BFBB8" w14:textId="77777777" w:rsidR="00A074BC" w:rsidRPr="00443B6F" w:rsidRDefault="006624A6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6BC0DFDC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F4D81BB" w14:textId="03E69886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Életbiztosítás</w:t>
            </w:r>
            <w:r w:rsidR="00814A94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(haláleseti biztosítás)</w:t>
            </w:r>
          </w:p>
          <w:p w14:paraId="6B76BE92" w14:textId="77777777" w:rsidR="00A074BC" w:rsidRPr="00443B6F" w:rsidRDefault="006624A6" w:rsidP="00440C9C">
            <w:pPr>
              <w:ind w:firstLine="0"/>
              <w:rPr>
                <w:rStyle w:val="BookTitle"/>
                <w:rFonts w:cstheme="minorHAnsi"/>
                <w:b/>
                <w:bCs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 xml:space="preserve">(life </w:t>
            </w:r>
            <w:proofErr w:type="spellStart"/>
            <w:r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 xml:space="preserve"> – </w:t>
            </w:r>
            <w:proofErr w:type="spellStart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>for</w:t>
            </w:r>
            <w:proofErr w:type="spellEnd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a </w:t>
            </w:r>
            <w:proofErr w:type="spellStart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>specific</w:t>
            </w:r>
            <w:proofErr w:type="spellEnd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>term</w:t>
            </w:r>
            <w:proofErr w:type="spellEnd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>or</w:t>
            </w:r>
            <w:proofErr w:type="spellEnd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>whole</w:t>
            </w:r>
            <w:proofErr w:type="spellEnd"/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life)</w:t>
            </w:r>
          </w:p>
        </w:tc>
        <w:tc>
          <w:tcPr>
            <w:tcW w:w="5244" w:type="dxa"/>
          </w:tcPr>
          <w:p w14:paraId="4579C67F" w14:textId="77777777" w:rsidR="00A074BC" w:rsidRPr="00443B6F" w:rsidRDefault="006624A6" w:rsidP="006624A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726ADDCE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6158E013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Temetési biztosítás</w:t>
            </w:r>
          </w:p>
          <w:p w14:paraId="29991B23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prepaid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funeral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plan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71B2C635" w14:textId="77777777" w:rsidR="00A074BC" w:rsidRPr="00443B6F" w:rsidRDefault="006624A6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0A5D0832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8CC2019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Járadékbiztosítás, nyugdíjbiztosítás</w:t>
            </w:r>
          </w:p>
          <w:p w14:paraId="19F82717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life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contingent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annuity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pension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6000662F" w14:textId="77777777" w:rsidR="00A074BC" w:rsidRPr="00443B6F" w:rsidRDefault="006624A6" w:rsidP="006624A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18A1B289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E1027F4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Egészségbiztosítás</w:t>
            </w:r>
          </w:p>
          <w:p w14:paraId="3CD9818D" w14:textId="77777777" w:rsidR="00A074BC" w:rsidRPr="00443B6F" w:rsidRDefault="006624A6" w:rsidP="00440C9C">
            <w:pPr>
              <w:ind w:firstLine="0"/>
              <w:rPr>
                <w:rStyle w:val="BookTitle"/>
                <w:rFonts w:cstheme="minorHAnsi"/>
                <w:b/>
                <w:bCs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against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disability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medical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cost</w:t>
            </w:r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7F4BC3C1" w14:textId="77777777" w:rsidR="00A074BC" w:rsidRPr="00443B6F" w:rsidRDefault="006624A6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332A3873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E4AE925" w14:textId="77777777" w:rsidR="006624A6" w:rsidRPr="00443B6F" w:rsidRDefault="00325F0C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Garancia, kezességi biztosítás</w:t>
            </w:r>
          </w:p>
          <w:p w14:paraId="6ADEECD5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surety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bond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fidelity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bond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performance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bond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bid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bond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053090A8" w14:textId="77777777" w:rsidR="00A074BC" w:rsidRPr="00443B6F" w:rsidRDefault="006624A6" w:rsidP="006624A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1F2643D1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5C46F30" w14:textId="77777777" w:rsidR="006624A6" w:rsidRPr="00443B6F" w:rsidRDefault="00325F0C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Tulajdonjoghoz kapcsolódó biztosítás</w:t>
            </w:r>
          </w:p>
          <w:p w14:paraId="0BEA755C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title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3CA4F3B5" w14:textId="77777777" w:rsidR="00A074BC" w:rsidRPr="00443B6F" w:rsidRDefault="006624A6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2E905FA9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A047355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Utasbiztosítás</w:t>
            </w:r>
          </w:p>
          <w:p w14:paraId="37C94584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travel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3F7CB74A" w14:textId="77777777" w:rsidR="00A074BC" w:rsidRPr="00443B6F" w:rsidRDefault="006624A6" w:rsidP="006624A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</w:p>
        </w:tc>
      </w:tr>
      <w:tr w:rsidR="00A074BC" w:rsidRPr="00443B6F" w14:paraId="3099777D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73B29EB3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Termékgarancia</w:t>
            </w:r>
          </w:p>
          <w:p w14:paraId="267F1DBC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product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warranty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75A46D91" w14:textId="77777777" w:rsidR="00A074BC" w:rsidRPr="00443B6F" w:rsidRDefault="00E77053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Igen, ha másik fél adja (mint a gyártó vagy kereskedő)</w:t>
            </w:r>
          </w:p>
          <w:p w14:paraId="400C3D53" w14:textId="77777777" w:rsidR="00A074BC" w:rsidRPr="00443B6F" w:rsidRDefault="00E77053" w:rsidP="00E7705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Nem</w:t>
            </w:r>
            <w:r w:rsidR="00A074BC"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 xml:space="preserve">, </w:t>
            </w: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ha a gyártó vagy kereskedő adja</w:t>
            </w:r>
          </w:p>
        </w:tc>
      </w:tr>
      <w:tr w:rsidR="00A074BC" w:rsidRPr="00443B6F" w14:paraId="2A79A08B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A89C430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CAT kötvény</w:t>
            </w:r>
          </w:p>
          <w:p w14:paraId="62382DBE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catastrophe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bond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203FB6BB" w14:textId="77777777" w:rsidR="00A074BC" w:rsidRPr="00443B6F" w:rsidRDefault="00E77053" w:rsidP="006624A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Igen, ha az esemény bekövetkezése a kibocsátóra nézve hátrányos következm</w:t>
            </w:r>
            <w:r w:rsidR="00DD33C1"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é</w:t>
            </w: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nnyel jár</w:t>
            </w:r>
          </w:p>
          <w:p w14:paraId="4751DC34" w14:textId="77777777" w:rsidR="00A074BC" w:rsidRPr="00443B6F" w:rsidRDefault="00E77053" w:rsidP="00E7705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Nem, ha a kockázat egyik félre nézve sem specifikus</w:t>
            </w:r>
          </w:p>
        </w:tc>
      </w:tr>
      <w:tr w:rsidR="00A074BC" w:rsidRPr="00443B6F" w14:paraId="7C964B41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710AC52" w14:textId="77777777" w:rsidR="00325F0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 xml:space="preserve">Biztosítási </w:t>
            </w:r>
            <w:proofErr w:type="spellStart"/>
            <w:r w:rsidR="00325F0C" w:rsidRPr="00443B6F">
              <w:rPr>
                <w:rStyle w:val="BookTitle"/>
                <w:rFonts w:cstheme="minorHAnsi"/>
                <w:i w:val="0"/>
                <w:lang w:val="hu-HU"/>
              </w:rPr>
              <w:t>derivatív</w:t>
            </w:r>
            <w:r w:rsidR="00CA112C" w:rsidRPr="00443B6F">
              <w:rPr>
                <w:rStyle w:val="BookTitle"/>
                <w:rFonts w:cstheme="minorHAnsi"/>
                <w:i w:val="0"/>
                <w:lang w:val="hu-HU"/>
              </w:rPr>
              <w:t>á</w:t>
            </w:r>
            <w:r w:rsidR="00325F0C" w:rsidRPr="00443B6F">
              <w:rPr>
                <w:rStyle w:val="BookTitle"/>
                <w:rFonts w:cstheme="minorHAnsi"/>
                <w:i w:val="0"/>
                <w:lang w:val="hu-HU"/>
              </w:rPr>
              <w:t>k</w:t>
            </w:r>
            <w:proofErr w:type="spellEnd"/>
          </w:p>
          <w:p w14:paraId="75AF85A0" w14:textId="77777777" w:rsidR="00A074BC" w:rsidRPr="00443B6F" w:rsidRDefault="0049471A" w:rsidP="0049471A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 xml:space="preserve">pl. </w:t>
            </w:r>
            <w:r w:rsidR="00325F0C" w:rsidRPr="00443B6F">
              <w:rPr>
                <w:rStyle w:val="BookTitle"/>
                <w:rFonts w:cstheme="minorHAnsi"/>
                <w:i w:val="0"/>
                <w:lang w:val="hu-HU"/>
              </w:rPr>
              <w:t>biztosítási csereügylet</w:t>
            </w:r>
            <w:r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r w:rsidR="006624A6"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swap</w:t>
            </w:r>
            <w:proofErr w:type="spellEnd"/>
            <w:r w:rsidR="006624A6"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69A64209" w14:textId="77777777" w:rsidR="00A074BC" w:rsidRPr="00443B6F" w:rsidRDefault="00E77053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Igen, ha a kockázat valamelyik félre nézve specifikus</w:t>
            </w:r>
          </w:p>
          <w:p w14:paraId="2A40374D" w14:textId="77777777" w:rsidR="00A074BC" w:rsidRPr="00443B6F" w:rsidRDefault="00E77053" w:rsidP="00325F0C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 xml:space="preserve">Nem, ha a kockázat egyik </w:t>
            </w:r>
            <w:r w:rsidR="00325F0C"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félre nézve sem specifikus</w:t>
            </w:r>
          </w:p>
        </w:tc>
      </w:tr>
      <w:tr w:rsidR="00A074BC" w:rsidRPr="00443B6F" w14:paraId="45883D18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CD1E4FD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Származékos termékek</w:t>
            </w:r>
          </w:p>
          <w:p w14:paraId="0B4A98CD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derivatives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47D4B09C" w14:textId="77777777" w:rsidR="00A074BC" w:rsidRPr="00443B6F" w:rsidRDefault="00E77053" w:rsidP="00E7705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Nem, ha a mögöttes kockázat pénzügyi, vagy nem pénzügyi ugyan, de a felekre nézve nem specifikus</w:t>
            </w:r>
          </w:p>
        </w:tc>
      </w:tr>
      <w:tr w:rsidR="00A074BC" w:rsidRPr="00443B6F" w14:paraId="734A5C28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69C9531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Viszontbiztosítási szerződés</w:t>
            </w:r>
          </w:p>
          <w:p w14:paraId="1014399E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reinsurance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contract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72F31A71" w14:textId="4104FEFF" w:rsidR="00A074BC" w:rsidRPr="00443B6F" w:rsidRDefault="00E77053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  <w:r w:rsidR="0057452C"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, amennyiben az teljesíti a biztosítási szerződés fogalmát</w:t>
            </w:r>
          </w:p>
        </w:tc>
      </w:tr>
      <w:tr w:rsidR="00A074BC" w:rsidRPr="00443B6F" w14:paraId="3CA860C4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6BE5528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Pénzügyi viszontbiztosítási szerződés</w:t>
            </w:r>
          </w:p>
          <w:p w14:paraId="4ED5A54A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financial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reinsurance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contract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7532E5D7" w14:textId="77777777" w:rsidR="00A074BC" w:rsidRPr="00443B6F" w:rsidRDefault="00E77053" w:rsidP="00E7705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Nem, ha minden jelentős biztosítási kockázatot a kötvénytulajdonosnál hagy</w:t>
            </w:r>
          </w:p>
        </w:tc>
      </w:tr>
      <w:tr w:rsidR="00A074BC" w:rsidRPr="00443B6F" w14:paraId="313D7955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22951C31" w14:textId="77777777" w:rsidR="006624A6" w:rsidRPr="00443B6F" w:rsidRDefault="006624A6" w:rsidP="00DD33C1">
            <w:pPr>
              <w:ind w:firstLine="0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Diszkrecionális nyereségrészesedést tartalmazó befektetési szerződés</w:t>
            </w:r>
          </w:p>
          <w:p w14:paraId="4D67473C" w14:textId="77777777" w:rsidR="00A074BC" w:rsidRPr="00443B6F" w:rsidRDefault="006624A6" w:rsidP="00E77053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investment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contract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with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DPF</w:t>
            </w:r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0E24B4EC" w14:textId="77777777" w:rsidR="00A074BC" w:rsidRPr="00443B6F" w:rsidRDefault="00E77053" w:rsidP="00E7705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Nem, ezek pénzügyi instrumentumok, de a szabvány alkalmazandó ezekre is, amennyiben a kibocsátó biztosítási szerződéseket is kibocsát</w:t>
            </w:r>
          </w:p>
        </w:tc>
      </w:tr>
      <w:tr w:rsidR="00A074BC" w:rsidRPr="00443B6F" w14:paraId="04017FDB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1E64832E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Önbiztosítás</w:t>
            </w:r>
          </w:p>
          <w:p w14:paraId="11093243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self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4BF7FF14" w14:textId="68C8E2F7" w:rsidR="00A074BC" w:rsidRPr="00443B6F" w:rsidRDefault="00E77053" w:rsidP="00814A94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 xml:space="preserve">Konszolidált szinten nem, </w:t>
            </w:r>
            <w:r w:rsidR="00814A94"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egyedi beszámoló</w:t>
            </w: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 xml:space="preserve"> szinten </w:t>
            </w:r>
            <w:r w:rsidR="00DD33C1"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</w:t>
            </w:r>
            <w:r w:rsidR="00814A94"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 xml:space="preserve"> </w:t>
            </w: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 xml:space="preserve">(pl. </w:t>
            </w:r>
            <w:proofErr w:type="spellStart"/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captive</w:t>
            </w:r>
            <w:proofErr w:type="spellEnd"/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)</w:t>
            </w:r>
          </w:p>
        </w:tc>
      </w:tr>
      <w:tr w:rsidR="00A074BC" w:rsidRPr="00443B6F" w14:paraId="62C38E30" w14:textId="77777777" w:rsidTr="00983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4892A304" w14:textId="77777777" w:rsidR="006624A6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Fogadás</w:t>
            </w:r>
          </w:p>
          <w:p w14:paraId="3C849B9B" w14:textId="77777777" w:rsidR="00A074BC" w:rsidRPr="00443B6F" w:rsidRDefault="006624A6" w:rsidP="00B012C0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gambling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contracts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46526A44" w14:textId="77777777" w:rsidR="00A074BC" w:rsidRPr="00443B6F" w:rsidRDefault="00E77053" w:rsidP="006624A6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Nem</w:t>
            </w:r>
          </w:p>
        </w:tc>
      </w:tr>
      <w:tr w:rsidR="00A074BC" w:rsidRPr="00443B6F" w14:paraId="75515DED" w14:textId="77777777" w:rsidTr="00983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14:paraId="0332BF54" w14:textId="77777777" w:rsidR="006624A6" w:rsidRPr="00443B6F" w:rsidRDefault="006624A6" w:rsidP="00DD33C1">
            <w:pPr>
              <w:ind w:firstLine="0"/>
              <w:rPr>
                <w:rStyle w:val="BookTitle"/>
                <w:rFonts w:cstheme="minorHAnsi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Hitelezési kockázattal összefüggő garanciák</w:t>
            </w:r>
          </w:p>
          <w:p w14:paraId="4CE29E9B" w14:textId="77777777" w:rsidR="00A074BC" w:rsidRPr="00443B6F" w:rsidRDefault="006624A6" w:rsidP="00DD33C1">
            <w:pPr>
              <w:ind w:firstLine="0"/>
              <w:jc w:val="both"/>
              <w:rPr>
                <w:rStyle w:val="BookTitle"/>
                <w:rFonts w:cstheme="minorHAnsi"/>
                <w:b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i w:val="0"/>
                <w:lang w:val="hu-HU"/>
              </w:rPr>
              <w:t>(</w:t>
            </w:r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cr</w:t>
            </w:r>
            <w:r w:rsidR="00E03BC7" w:rsidRPr="00443B6F">
              <w:rPr>
                <w:rStyle w:val="BookTitle"/>
                <w:rFonts w:cstheme="minorHAnsi"/>
                <w:i w:val="0"/>
                <w:lang w:val="hu-HU"/>
              </w:rPr>
              <w:t>edit-</w:t>
            </w:r>
            <w:proofErr w:type="spellStart"/>
            <w:r w:rsidR="00E03BC7" w:rsidRPr="00443B6F">
              <w:rPr>
                <w:rStyle w:val="BookTitle"/>
                <w:rFonts w:cstheme="minorHAnsi"/>
                <w:i w:val="0"/>
                <w:lang w:val="hu-HU"/>
              </w:rPr>
              <w:t>related</w:t>
            </w:r>
            <w:proofErr w:type="spellEnd"/>
            <w:r w:rsidR="00E03BC7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E03BC7" w:rsidRPr="00443B6F">
              <w:rPr>
                <w:rStyle w:val="BookTitle"/>
                <w:rFonts w:cstheme="minorHAnsi"/>
                <w:i w:val="0"/>
                <w:lang w:val="hu-HU"/>
              </w:rPr>
              <w:t>guarantees</w:t>
            </w:r>
            <w:proofErr w:type="spellEnd"/>
            <w:r w:rsidRPr="00443B6F">
              <w:rPr>
                <w:rStyle w:val="BookTitle"/>
                <w:rFonts w:cstheme="minorHAnsi"/>
                <w:i w:val="0"/>
                <w:lang w:val="hu-HU"/>
              </w:rPr>
              <w:t xml:space="preserve">: </w:t>
            </w:r>
            <w:proofErr w:type="spellStart"/>
            <w:r w:rsidR="00E03BC7" w:rsidRPr="00443B6F">
              <w:rPr>
                <w:rStyle w:val="BookTitle"/>
                <w:rFonts w:cstheme="minorHAnsi"/>
                <w:i w:val="0"/>
                <w:lang w:val="hu-HU"/>
              </w:rPr>
              <w:t>letter</w:t>
            </w:r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s</w:t>
            </w:r>
            <w:proofErr w:type="spellEnd"/>
            <w:r w:rsidR="00E03BC7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of credit, credit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derivative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default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 xml:space="preserve">, credit </w:t>
            </w:r>
            <w:proofErr w:type="spellStart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insurance</w:t>
            </w:r>
            <w:proofErr w:type="spellEnd"/>
            <w:r w:rsidR="00A074BC" w:rsidRPr="00443B6F">
              <w:rPr>
                <w:rStyle w:val="BookTitle"/>
                <w:rFonts w:cstheme="minorHAnsi"/>
                <w:i w:val="0"/>
                <w:lang w:val="hu-HU"/>
              </w:rPr>
              <w:t>)</w:t>
            </w:r>
          </w:p>
        </w:tc>
        <w:tc>
          <w:tcPr>
            <w:tcW w:w="5244" w:type="dxa"/>
          </w:tcPr>
          <w:p w14:paraId="2CEB76C8" w14:textId="77777777" w:rsidR="00E77053" w:rsidRPr="00443B6F" w:rsidRDefault="00E77053" w:rsidP="006624A6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Igen, ha a szerződőt a bekövetkezett veszteségért kártalanítja</w:t>
            </w:r>
          </w:p>
          <w:p w14:paraId="6038924C" w14:textId="77777777" w:rsidR="00A074BC" w:rsidRPr="00443B6F" w:rsidRDefault="00E77053" w:rsidP="00E7705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BookTitle"/>
                <w:rFonts w:cstheme="minorHAnsi"/>
                <w:b w:val="0"/>
                <w:i w:val="0"/>
                <w:lang w:val="hu-HU"/>
              </w:rPr>
            </w:pPr>
            <w:r w:rsidRPr="00443B6F">
              <w:rPr>
                <w:rStyle w:val="BookTitle"/>
                <w:rFonts w:cstheme="minorHAnsi"/>
                <w:b w:val="0"/>
                <w:i w:val="0"/>
                <w:lang w:val="hu-HU"/>
              </w:rPr>
              <w:t>Nem, ha akkor is térít, ha a szerződőnek vesztesége nem származik</w:t>
            </w:r>
          </w:p>
        </w:tc>
      </w:tr>
    </w:tbl>
    <w:p w14:paraId="4D8D31A7" w14:textId="77777777" w:rsidR="00A074BC" w:rsidRPr="00443B6F" w:rsidRDefault="00A074BC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723DF613" w14:textId="1AFC5D62" w:rsidR="00404E5F" w:rsidRPr="00443B6F" w:rsidRDefault="00617C90" w:rsidP="000E5A27">
      <w:pPr>
        <w:spacing w:after="120" w:line="276" w:lineRule="auto"/>
        <w:ind w:firstLine="0"/>
        <w:rPr>
          <w:rFonts w:eastAsiaTheme="minorHAnsi"/>
          <w:bCs/>
          <w:i/>
          <w:lang w:val="hu-HU"/>
        </w:rPr>
      </w:pPr>
      <w:r w:rsidRPr="00443B6F">
        <w:rPr>
          <w:rFonts w:eastAsiaTheme="minorHAnsi"/>
          <w:bCs/>
          <w:i/>
          <w:lang w:val="hu-HU"/>
        </w:rPr>
        <w:t>Ide tartozó, 2020 júniusában elfogadott (</w:t>
      </w:r>
      <w:r w:rsidRPr="00443B6F">
        <w:rPr>
          <w:rStyle w:val="Standard"/>
          <w:rFonts w:cstheme="minorHAnsi"/>
          <w:i/>
        </w:rPr>
        <w:t xml:space="preserve">7.(b) illetve a 8. </w:t>
      </w:r>
      <w:r w:rsidRPr="00443B6F">
        <w:rPr>
          <w:rStyle w:val="Standard"/>
          <w:rFonts w:eastAsiaTheme="minorHAnsi" w:cstheme="minorHAnsi"/>
          <w:i/>
        </w:rPr>
        <w:t>bekezdésben</w:t>
      </w:r>
      <w:r w:rsidRPr="00443B6F">
        <w:rPr>
          <w:rStyle w:val="Standard"/>
          <w:rFonts w:cstheme="minorHAnsi"/>
          <w:i/>
        </w:rPr>
        <w:t xml:space="preserve"> </w:t>
      </w:r>
      <w:r w:rsidRPr="00443B6F">
        <w:rPr>
          <w:rFonts w:eastAsiaTheme="minorHAnsi"/>
          <w:bCs/>
          <w:i/>
          <w:lang w:val="hu-HU"/>
        </w:rPr>
        <w:t>megjelenő) módosítás, hogy a hitelkártyák (melyben a biztosítási díja nem tükrözi a kártyatulajdonos egyéni kockázatát) nem tartoznak a szabvány hatálya alá.</w:t>
      </w:r>
      <w:r w:rsidR="000F260B" w:rsidRPr="00443B6F">
        <w:rPr>
          <w:rFonts w:eastAsiaTheme="minorHAnsi"/>
          <w:bCs/>
          <w:i/>
          <w:lang w:val="hu-HU"/>
        </w:rPr>
        <w:t xml:space="preserve"> Továbbá hitelkártyák esetén amikor a haláleseti szolgáltatás az igényelt keretösszeg mértékében korlátozott a társaság választhat az IFRS 17 vagy IFRS 9 értékelés között.</w:t>
      </w:r>
    </w:p>
    <w:p w14:paraId="3CB6A484" w14:textId="26F3CE4C" w:rsidR="004161DC" w:rsidRPr="00443B6F" w:rsidRDefault="000F1E26" w:rsidP="000E5A27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Bizonyos szerződések, melyek nem pénzügyi kockázatot tartalmaznak attól függően sorolandók a biztosítási szerződések közé, hogy a fedezett kockázatok specifikusak-e a </w:t>
      </w:r>
      <w:r w:rsidR="004161DC" w:rsidRPr="00443B6F">
        <w:rPr>
          <w:rFonts w:eastAsiaTheme="minorHAnsi"/>
          <w:bCs/>
          <w:iCs/>
          <w:lang w:val="hu-HU"/>
        </w:rPr>
        <w:t>szerződéses felek számára.</w:t>
      </w:r>
    </w:p>
    <w:p w14:paraId="45D2356B" w14:textId="0EBD099F" w:rsidR="000F1E26" w:rsidRPr="00443B6F" w:rsidRDefault="000F1E26" w:rsidP="000E5A27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>Amennyiben nem azok, akkor nem minősülnek biztosítási szerződésnek, p</w:t>
      </w:r>
      <w:r w:rsidR="00BD4505" w:rsidRPr="00443B6F">
        <w:rPr>
          <w:rFonts w:eastAsiaTheme="minorHAnsi"/>
          <w:bCs/>
          <w:iCs/>
          <w:lang w:val="hu-HU"/>
        </w:rPr>
        <w:t>éldául</w:t>
      </w:r>
      <w:r w:rsidRPr="00443B6F">
        <w:rPr>
          <w:rFonts w:eastAsiaTheme="minorHAnsi"/>
          <w:bCs/>
          <w:iCs/>
          <w:lang w:val="hu-HU"/>
        </w:rPr>
        <w:t>:</w:t>
      </w:r>
    </w:p>
    <w:p w14:paraId="2C581F11" w14:textId="77777777" w:rsidR="000F1E26" w:rsidRPr="00443B6F" w:rsidRDefault="00C34EA9" w:rsidP="000E5A27">
      <w:pPr>
        <w:pStyle w:val="ListParagraph"/>
        <w:numPr>
          <w:ilvl w:val="0"/>
          <w:numId w:val="36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Időjárás </w:t>
      </w:r>
      <w:proofErr w:type="spellStart"/>
      <w:r w:rsidRPr="00443B6F">
        <w:rPr>
          <w:rFonts w:eastAsiaTheme="minorHAnsi"/>
          <w:lang w:val="hu-HU"/>
        </w:rPr>
        <w:t>derivatív</w:t>
      </w:r>
      <w:r w:rsidR="00B4503D" w:rsidRPr="00443B6F">
        <w:rPr>
          <w:rFonts w:eastAsiaTheme="minorHAnsi"/>
          <w:lang w:val="hu-HU"/>
        </w:rPr>
        <w:t>á</w:t>
      </w:r>
      <w:r w:rsidRPr="00443B6F">
        <w:rPr>
          <w:rFonts w:eastAsiaTheme="minorHAnsi"/>
          <w:lang w:val="hu-HU"/>
        </w:rPr>
        <w:t>k</w:t>
      </w:r>
      <w:proofErr w:type="spellEnd"/>
    </w:p>
    <w:p w14:paraId="4BAC96CF" w14:textId="77777777" w:rsidR="000F1E26" w:rsidRPr="00443B6F" w:rsidRDefault="00C34EA9" w:rsidP="000E5A27">
      <w:pPr>
        <w:pStyle w:val="ListParagraph"/>
        <w:numPr>
          <w:ilvl w:val="0"/>
          <w:numId w:val="36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>CAT kötvények (</w:t>
      </w:r>
      <w:proofErr w:type="spellStart"/>
      <w:r w:rsidR="000F1E26" w:rsidRPr="00443B6F">
        <w:rPr>
          <w:rFonts w:eastAsiaTheme="minorHAnsi"/>
          <w:lang w:val="hu-HU"/>
        </w:rPr>
        <w:t>catastrophe</w:t>
      </w:r>
      <w:proofErr w:type="spellEnd"/>
      <w:r w:rsidR="000F1E26" w:rsidRPr="00443B6F">
        <w:rPr>
          <w:rFonts w:eastAsiaTheme="minorHAnsi"/>
          <w:lang w:val="hu-HU"/>
        </w:rPr>
        <w:t xml:space="preserve"> </w:t>
      </w:r>
      <w:proofErr w:type="spellStart"/>
      <w:r w:rsidR="000F1E26" w:rsidRPr="00443B6F">
        <w:rPr>
          <w:rFonts w:eastAsiaTheme="minorHAnsi"/>
          <w:lang w:val="hu-HU"/>
        </w:rPr>
        <w:t>bonds</w:t>
      </w:r>
      <w:proofErr w:type="spellEnd"/>
      <w:r w:rsidRPr="00443B6F">
        <w:rPr>
          <w:rFonts w:eastAsiaTheme="minorHAnsi"/>
          <w:lang w:val="hu-HU"/>
        </w:rPr>
        <w:t>)</w:t>
      </w:r>
    </w:p>
    <w:p w14:paraId="736ECFF1" w14:textId="77777777" w:rsidR="00BD4505" w:rsidRPr="00443B6F" w:rsidRDefault="00BD4505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11738769" w14:textId="297B8970" w:rsidR="000F1E26" w:rsidRPr="00443B6F" w:rsidRDefault="000F1E26" w:rsidP="000E5A27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A </w:t>
      </w:r>
      <w:r w:rsidR="006624A6" w:rsidRPr="00443B6F">
        <w:rPr>
          <w:rFonts w:eastAsiaTheme="minorHAnsi"/>
          <w:bCs/>
          <w:iCs/>
          <w:lang w:val="hu-HU"/>
        </w:rPr>
        <w:t>hitelezési kockázattal összefüggő garanciák (</w:t>
      </w:r>
      <w:r w:rsidRPr="00443B6F">
        <w:rPr>
          <w:rFonts w:eastAsiaTheme="minorHAnsi"/>
          <w:bCs/>
          <w:iCs/>
          <w:lang w:val="hu-HU"/>
        </w:rPr>
        <w:t>credit-</w:t>
      </w:r>
      <w:proofErr w:type="spellStart"/>
      <w:r w:rsidRPr="00443B6F">
        <w:rPr>
          <w:rFonts w:eastAsiaTheme="minorHAnsi"/>
          <w:bCs/>
          <w:iCs/>
          <w:lang w:val="hu-HU"/>
        </w:rPr>
        <w:t>related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</w:t>
      </w:r>
      <w:proofErr w:type="spellStart"/>
      <w:r w:rsidRPr="00443B6F">
        <w:rPr>
          <w:rFonts w:eastAsiaTheme="minorHAnsi"/>
          <w:bCs/>
          <w:iCs/>
          <w:lang w:val="hu-HU"/>
        </w:rPr>
        <w:t>guarantees</w:t>
      </w:r>
      <w:proofErr w:type="spellEnd"/>
      <w:r w:rsidR="006624A6" w:rsidRPr="00443B6F">
        <w:rPr>
          <w:rFonts w:eastAsiaTheme="minorHAnsi"/>
          <w:bCs/>
          <w:iCs/>
          <w:lang w:val="hu-HU"/>
        </w:rPr>
        <w:t xml:space="preserve">: </w:t>
      </w:r>
      <w:proofErr w:type="spellStart"/>
      <w:r w:rsidRPr="00443B6F">
        <w:rPr>
          <w:rFonts w:eastAsiaTheme="minorHAnsi"/>
          <w:bCs/>
          <w:iCs/>
          <w:lang w:val="hu-HU"/>
        </w:rPr>
        <w:t>letters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of credit, credit </w:t>
      </w:r>
      <w:proofErr w:type="spellStart"/>
      <w:r w:rsidRPr="00443B6F">
        <w:rPr>
          <w:rFonts w:eastAsiaTheme="minorHAnsi"/>
          <w:bCs/>
          <w:iCs/>
          <w:lang w:val="hu-HU"/>
        </w:rPr>
        <w:t>derivative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</w:t>
      </w:r>
      <w:proofErr w:type="spellStart"/>
      <w:r w:rsidRPr="00443B6F">
        <w:rPr>
          <w:rFonts w:eastAsiaTheme="minorHAnsi"/>
          <w:bCs/>
          <w:iCs/>
          <w:lang w:val="hu-HU"/>
        </w:rPr>
        <w:t>default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</w:t>
      </w:r>
      <w:proofErr w:type="spellStart"/>
      <w:r w:rsidRPr="00443B6F">
        <w:rPr>
          <w:rFonts w:eastAsiaTheme="minorHAnsi"/>
          <w:bCs/>
          <w:iCs/>
          <w:lang w:val="hu-HU"/>
        </w:rPr>
        <w:t>contracts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, credit </w:t>
      </w:r>
      <w:proofErr w:type="spellStart"/>
      <w:r w:rsidRPr="00443B6F">
        <w:rPr>
          <w:rFonts w:eastAsiaTheme="minorHAnsi"/>
          <w:bCs/>
          <w:iCs/>
          <w:lang w:val="hu-HU"/>
        </w:rPr>
        <w:t>insurance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</w:t>
      </w:r>
      <w:proofErr w:type="spellStart"/>
      <w:r w:rsidRPr="00443B6F">
        <w:rPr>
          <w:rFonts w:eastAsiaTheme="minorHAnsi"/>
          <w:bCs/>
          <w:iCs/>
          <w:lang w:val="hu-HU"/>
        </w:rPr>
        <w:t>contracts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) abban az esetben sem feltétlenül tartoznak a standard hatálya alá, ha </w:t>
      </w:r>
      <w:r w:rsidR="00B36A3E" w:rsidRPr="00443B6F">
        <w:rPr>
          <w:rFonts w:eastAsiaTheme="minorHAnsi"/>
          <w:bCs/>
          <w:iCs/>
          <w:lang w:val="hu-HU"/>
        </w:rPr>
        <w:t xml:space="preserve">teljesítik a </w:t>
      </w:r>
      <w:r w:rsidRPr="00443B6F">
        <w:rPr>
          <w:rFonts w:eastAsiaTheme="minorHAnsi"/>
          <w:bCs/>
          <w:iCs/>
          <w:lang w:val="hu-HU"/>
        </w:rPr>
        <w:t>biztosítási szerződés</w:t>
      </w:r>
      <w:r w:rsidR="00B36A3E" w:rsidRPr="00443B6F">
        <w:rPr>
          <w:rFonts w:eastAsiaTheme="minorHAnsi"/>
          <w:bCs/>
          <w:iCs/>
          <w:lang w:val="hu-HU"/>
        </w:rPr>
        <w:t xml:space="preserve"> definícióját</w:t>
      </w:r>
      <w:r w:rsidRPr="00443B6F">
        <w:rPr>
          <w:rFonts w:eastAsiaTheme="minorHAnsi"/>
          <w:bCs/>
          <w:iCs/>
          <w:lang w:val="hu-HU"/>
        </w:rPr>
        <w:t xml:space="preserve">. </w:t>
      </w:r>
      <w:r w:rsidR="00B36A3E" w:rsidRPr="00443B6F">
        <w:rPr>
          <w:rFonts w:eastAsiaTheme="minorHAnsi"/>
          <w:bCs/>
          <w:iCs/>
          <w:lang w:val="hu-HU"/>
        </w:rPr>
        <w:t>E</w:t>
      </w:r>
      <w:r w:rsidRPr="00443B6F">
        <w:rPr>
          <w:rFonts w:eastAsiaTheme="minorHAnsi"/>
          <w:bCs/>
          <w:iCs/>
          <w:lang w:val="hu-HU"/>
        </w:rPr>
        <w:t xml:space="preserve">zeket </w:t>
      </w:r>
      <w:r w:rsidR="00B36A3E" w:rsidRPr="00443B6F">
        <w:rPr>
          <w:rFonts w:eastAsiaTheme="minorHAnsi"/>
          <w:bCs/>
          <w:iCs/>
          <w:lang w:val="hu-HU"/>
        </w:rPr>
        <w:t>a szerződések abban az esetben lesznek b</w:t>
      </w:r>
      <w:r w:rsidRPr="00443B6F">
        <w:rPr>
          <w:rFonts w:eastAsiaTheme="minorHAnsi"/>
          <w:bCs/>
          <w:iCs/>
          <w:lang w:val="hu-HU"/>
        </w:rPr>
        <w:t>iztosítási szer</w:t>
      </w:r>
      <w:r w:rsidR="00E67E08" w:rsidRPr="00443B6F">
        <w:rPr>
          <w:rFonts w:eastAsiaTheme="minorHAnsi"/>
          <w:bCs/>
          <w:iCs/>
          <w:lang w:val="hu-HU"/>
        </w:rPr>
        <w:t>z</w:t>
      </w:r>
      <w:r w:rsidRPr="00443B6F">
        <w:rPr>
          <w:rFonts w:eastAsiaTheme="minorHAnsi"/>
          <w:bCs/>
          <w:iCs/>
          <w:lang w:val="hu-HU"/>
        </w:rPr>
        <w:t>ődés</w:t>
      </w:r>
      <w:r w:rsidR="00B36A3E" w:rsidRPr="00443B6F">
        <w:rPr>
          <w:rFonts w:eastAsiaTheme="minorHAnsi"/>
          <w:bCs/>
          <w:iCs/>
          <w:lang w:val="hu-HU"/>
        </w:rPr>
        <w:t>ek,</w:t>
      </w:r>
      <w:r w:rsidRPr="00443B6F">
        <w:rPr>
          <w:rFonts w:eastAsiaTheme="minorHAnsi"/>
          <w:bCs/>
          <w:iCs/>
          <w:lang w:val="hu-HU"/>
        </w:rPr>
        <w:t xml:space="preserve"> ha a kibocsátó kártalanítja a másik felet mivel az veszteségeket szenvedett el amiatt, hogy az adósa nem tudott teljesíteni. </w:t>
      </w:r>
      <w:r w:rsidR="00B36A3E" w:rsidRPr="00443B6F">
        <w:rPr>
          <w:rFonts w:eastAsiaTheme="minorHAnsi"/>
          <w:bCs/>
          <w:iCs/>
          <w:lang w:val="hu-HU"/>
        </w:rPr>
        <w:t xml:space="preserve">Azonban, még ebben az esetben </w:t>
      </w:r>
      <w:r w:rsidR="0057452C" w:rsidRPr="00443B6F">
        <w:rPr>
          <w:rFonts w:eastAsiaTheme="minorHAnsi"/>
          <w:bCs/>
          <w:iCs/>
          <w:lang w:val="hu-HU"/>
        </w:rPr>
        <w:t xml:space="preserve">számviteli </w:t>
      </w:r>
      <w:proofErr w:type="spellStart"/>
      <w:r w:rsidR="0057452C" w:rsidRPr="00443B6F">
        <w:rPr>
          <w:rFonts w:eastAsiaTheme="minorHAnsi"/>
          <w:bCs/>
          <w:iCs/>
          <w:lang w:val="hu-HU"/>
        </w:rPr>
        <w:t>politikabeli</w:t>
      </w:r>
      <w:proofErr w:type="spellEnd"/>
      <w:r w:rsidR="0057452C" w:rsidRPr="00443B6F">
        <w:rPr>
          <w:rFonts w:eastAsiaTheme="minorHAnsi"/>
          <w:bCs/>
          <w:iCs/>
          <w:lang w:val="hu-HU"/>
        </w:rPr>
        <w:t xml:space="preserve"> választási lehetősége van a garanciát vállalónak: azaz az az ő döntése, h</w:t>
      </w:r>
      <w:r w:rsidR="00B36A3E" w:rsidRPr="00443B6F">
        <w:rPr>
          <w:rFonts w:eastAsiaTheme="minorHAnsi"/>
          <w:bCs/>
          <w:iCs/>
          <w:lang w:val="hu-HU"/>
        </w:rPr>
        <w:t xml:space="preserve">ogy ezen, egyébként a biztosítási szerződés definícióját teljesítő pénzügyi garanciaszerződések elszámolásra alkalmazza-e az IFRS17-es szabványt (ez esetben ezt </w:t>
      </w:r>
      <w:r w:rsidR="00BD4505" w:rsidRPr="00443B6F">
        <w:rPr>
          <w:rFonts w:eastAsiaTheme="minorHAnsi"/>
          <w:bCs/>
          <w:iCs/>
          <w:lang w:val="hu-HU"/>
        </w:rPr>
        <w:t xml:space="preserve">döntést </w:t>
      </w:r>
      <w:r w:rsidR="00B36A3E" w:rsidRPr="00443B6F">
        <w:rPr>
          <w:rFonts w:eastAsiaTheme="minorHAnsi"/>
          <w:bCs/>
          <w:iCs/>
          <w:lang w:val="hu-HU"/>
        </w:rPr>
        <w:t xml:space="preserve">a számviteli politikájában </w:t>
      </w:r>
      <w:r w:rsidR="00BD4505" w:rsidRPr="00443B6F">
        <w:rPr>
          <w:rFonts w:eastAsiaTheme="minorHAnsi"/>
          <w:bCs/>
          <w:iCs/>
          <w:lang w:val="hu-HU"/>
        </w:rPr>
        <w:t>fel kell tüntetnie</w:t>
      </w:r>
      <w:r w:rsidR="00B36A3E" w:rsidRPr="00443B6F">
        <w:rPr>
          <w:rFonts w:eastAsiaTheme="minorHAnsi"/>
          <w:bCs/>
          <w:iCs/>
          <w:lang w:val="hu-HU"/>
        </w:rPr>
        <w:t xml:space="preserve">) vagy sem. </w:t>
      </w:r>
    </w:p>
    <w:p w14:paraId="46F5C66D" w14:textId="34742D0D" w:rsidR="00423BF8" w:rsidRPr="00443B6F" w:rsidRDefault="00423BF8" w:rsidP="000E5A27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67F10CFC" w14:textId="590B0235" w:rsidR="00423BF8" w:rsidRPr="00443B6F" w:rsidRDefault="00423BF8" w:rsidP="000E5A27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A biztosítási szerződésnek minősülő hitelezési kockázattal összefüggő garanciákhoz hasonlóan szintén a Társaság számviteli </w:t>
      </w:r>
      <w:proofErr w:type="spellStart"/>
      <w:r w:rsidRPr="00443B6F">
        <w:rPr>
          <w:rFonts w:eastAsiaTheme="minorHAnsi"/>
          <w:bCs/>
          <w:iCs/>
          <w:lang w:val="hu-HU"/>
        </w:rPr>
        <w:t>politikabeli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döntésétől függően fognak az IFRS17 hatálya alatt elszámolásra kerülni a biztosítási szerződés definícióját teljesítő fixdíjas szolgáltatási szerződések is. Ilyen lehet például </w:t>
      </w:r>
      <w:r w:rsidR="00210B04" w:rsidRPr="00443B6F">
        <w:rPr>
          <w:rFonts w:eastAsiaTheme="minorHAnsi"/>
          <w:bCs/>
          <w:iCs/>
          <w:lang w:val="hu-HU"/>
        </w:rPr>
        <w:t>egy olyan szolgáltatási szerződés</w:t>
      </w:r>
      <w:r w:rsidR="0057452C" w:rsidRPr="00443B6F">
        <w:rPr>
          <w:rFonts w:eastAsiaTheme="minorHAnsi"/>
          <w:bCs/>
          <w:iCs/>
          <w:lang w:val="hu-HU"/>
        </w:rPr>
        <w:t>,</w:t>
      </w:r>
      <w:r w:rsidR="00210B04" w:rsidRPr="00443B6F">
        <w:rPr>
          <w:rFonts w:eastAsiaTheme="minorHAnsi"/>
          <w:bCs/>
          <w:iCs/>
          <w:lang w:val="hu-HU"/>
        </w:rPr>
        <w:t xml:space="preserve"> mely szerint egy előre meghatározott fix díj ellenében a szolgáltató ellátja a tartam alatt meghibásodott eszközök javítását (a meghibásodások darabszám</w:t>
      </w:r>
      <w:r w:rsidR="0057452C" w:rsidRPr="00443B6F">
        <w:rPr>
          <w:rFonts w:eastAsiaTheme="minorHAnsi"/>
          <w:bCs/>
          <w:iCs/>
          <w:lang w:val="hu-HU"/>
        </w:rPr>
        <w:t>ától</w:t>
      </w:r>
      <w:r w:rsidR="00210B04" w:rsidRPr="00443B6F">
        <w:rPr>
          <w:rFonts w:eastAsiaTheme="minorHAnsi"/>
          <w:bCs/>
          <w:iCs/>
          <w:lang w:val="hu-HU"/>
        </w:rPr>
        <w:t xml:space="preserve"> és a </w:t>
      </w:r>
      <w:r w:rsidR="00CD127D" w:rsidRPr="00443B6F">
        <w:rPr>
          <w:rFonts w:eastAsiaTheme="minorHAnsi"/>
          <w:bCs/>
          <w:iCs/>
          <w:lang w:val="hu-HU"/>
        </w:rPr>
        <w:t>felmerült h</w:t>
      </w:r>
      <w:r w:rsidR="00210B04" w:rsidRPr="00443B6F">
        <w:rPr>
          <w:rFonts w:eastAsiaTheme="minorHAnsi"/>
          <w:bCs/>
          <w:iCs/>
          <w:lang w:val="hu-HU"/>
        </w:rPr>
        <w:t>iba súlyosságától függetlenül).</w:t>
      </w:r>
    </w:p>
    <w:p w14:paraId="181E784D" w14:textId="6AFFC554" w:rsidR="00C34F85" w:rsidRDefault="00C34F85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71420912" w14:textId="77777777" w:rsidR="002D5A3D" w:rsidRPr="00443B6F" w:rsidRDefault="002D5A3D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63F9DB71" w14:textId="77777777" w:rsidR="009272D3" w:rsidRPr="00443B6F" w:rsidRDefault="009272D3" w:rsidP="000E5A27">
      <w:pPr>
        <w:pStyle w:val="Heading3"/>
        <w:numPr>
          <w:ilvl w:val="1"/>
          <w:numId w:val="24"/>
        </w:numPr>
        <w:spacing w:before="40" w:after="120" w:line="276" w:lineRule="auto"/>
        <w:ind w:left="0" w:firstLine="0"/>
        <w:rPr>
          <w:bCs w:val="0"/>
          <w:color w:val="244061" w:themeColor="accent1" w:themeShade="80"/>
          <w:sz w:val="26"/>
          <w:szCs w:val="24"/>
          <w:lang w:val="hu-HU"/>
        </w:rPr>
      </w:pPr>
      <w:bookmarkStart w:id="6" w:name="_Toc91191783"/>
      <w:r w:rsidRPr="00443B6F">
        <w:rPr>
          <w:bCs w:val="0"/>
          <w:color w:val="244061" w:themeColor="accent1" w:themeShade="80"/>
          <w:sz w:val="26"/>
          <w:szCs w:val="24"/>
          <w:lang w:val="hu-HU"/>
        </w:rPr>
        <w:t>Mikor és milyen szerződéselemeket kell szétválasztani és külön értékelni</w:t>
      </w:r>
      <w:r w:rsidR="000F1E26" w:rsidRPr="00443B6F">
        <w:rPr>
          <w:bCs w:val="0"/>
          <w:color w:val="244061" w:themeColor="accent1" w:themeShade="80"/>
          <w:sz w:val="26"/>
          <w:szCs w:val="24"/>
          <w:lang w:val="hu-HU"/>
        </w:rPr>
        <w:t>, mely sze</w:t>
      </w:r>
      <w:r w:rsidR="007A7847" w:rsidRPr="00443B6F">
        <w:rPr>
          <w:bCs w:val="0"/>
          <w:color w:val="244061" w:themeColor="accent1" w:themeShade="80"/>
          <w:sz w:val="26"/>
          <w:szCs w:val="24"/>
          <w:lang w:val="hu-HU"/>
        </w:rPr>
        <w:t>rződéseket lehet együtt kezelni</w:t>
      </w:r>
      <w:r w:rsidRPr="00443B6F">
        <w:rPr>
          <w:bCs w:val="0"/>
          <w:color w:val="244061" w:themeColor="accent1" w:themeShade="80"/>
          <w:sz w:val="26"/>
          <w:szCs w:val="24"/>
          <w:lang w:val="hu-HU"/>
        </w:rPr>
        <w:t>?</w:t>
      </w:r>
      <w:bookmarkEnd w:id="6"/>
    </w:p>
    <w:p w14:paraId="3D61226C" w14:textId="77777777" w:rsidR="00543F91" w:rsidRPr="00443B6F" w:rsidRDefault="00543F91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09A3CB1E" w14:textId="44ADE33C" w:rsidR="00ED1A2A" w:rsidRPr="00443B6F" w:rsidRDefault="00ED1A2A" w:rsidP="00E80D5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Amennyiben a szerződés </w:t>
      </w:r>
      <w:r w:rsidR="00FE2324" w:rsidRPr="00443B6F">
        <w:rPr>
          <w:rFonts w:eastAsiaTheme="minorHAnsi"/>
          <w:bCs/>
          <w:iCs/>
          <w:lang w:val="hu-HU"/>
        </w:rPr>
        <w:t>az előző</w:t>
      </w:r>
      <w:r w:rsidR="00DC6B29" w:rsidRPr="00443B6F">
        <w:rPr>
          <w:rFonts w:eastAsiaTheme="minorHAnsi"/>
          <w:bCs/>
          <w:iCs/>
          <w:lang w:val="hu-HU"/>
        </w:rPr>
        <w:t xml:space="preserve"> fejezetben szereplő definíció szerint </w:t>
      </w:r>
      <w:r w:rsidR="00423BF8" w:rsidRPr="00443B6F">
        <w:rPr>
          <w:rFonts w:eastAsiaTheme="minorHAnsi"/>
          <w:bCs/>
          <w:iCs/>
          <w:lang w:val="hu-HU"/>
        </w:rPr>
        <w:t xml:space="preserve">biztosítási szerződésnek minősül, akkor </w:t>
      </w:r>
      <w:r w:rsidR="00DC6B29" w:rsidRPr="00443B6F">
        <w:rPr>
          <w:rFonts w:eastAsiaTheme="minorHAnsi"/>
          <w:bCs/>
          <w:iCs/>
          <w:lang w:val="hu-HU"/>
        </w:rPr>
        <w:t>a szabvány h</w:t>
      </w:r>
      <w:r w:rsidR="00423BF8" w:rsidRPr="00443B6F">
        <w:rPr>
          <w:rFonts w:eastAsiaTheme="minorHAnsi"/>
          <w:bCs/>
          <w:iCs/>
          <w:lang w:val="hu-HU"/>
        </w:rPr>
        <w:t>atálya alá tartozik</w:t>
      </w:r>
      <w:r w:rsidR="00DC6B29" w:rsidRPr="00443B6F">
        <w:rPr>
          <w:rFonts w:eastAsiaTheme="minorHAnsi"/>
          <w:bCs/>
          <w:iCs/>
          <w:lang w:val="hu-HU"/>
        </w:rPr>
        <w:t>. A</w:t>
      </w:r>
      <w:r w:rsidR="00FE2324" w:rsidRPr="00443B6F">
        <w:rPr>
          <w:rFonts w:eastAsiaTheme="minorHAnsi"/>
          <w:bCs/>
          <w:iCs/>
          <w:lang w:val="hu-HU"/>
        </w:rPr>
        <w:t xml:space="preserve">zonban </w:t>
      </w:r>
      <w:r w:rsidR="00DC6B29" w:rsidRPr="00443B6F">
        <w:rPr>
          <w:rFonts w:eastAsiaTheme="minorHAnsi"/>
          <w:bCs/>
          <w:iCs/>
          <w:lang w:val="hu-HU"/>
        </w:rPr>
        <w:t>szükséges annak v</w:t>
      </w:r>
      <w:r w:rsidR="00FE2324" w:rsidRPr="00443B6F">
        <w:rPr>
          <w:rFonts w:eastAsiaTheme="minorHAnsi"/>
          <w:bCs/>
          <w:iCs/>
          <w:lang w:val="hu-HU"/>
        </w:rPr>
        <w:t>izsgálat</w:t>
      </w:r>
      <w:r w:rsidR="00DC6B29" w:rsidRPr="00443B6F">
        <w:rPr>
          <w:rFonts w:eastAsiaTheme="minorHAnsi"/>
          <w:bCs/>
          <w:iCs/>
          <w:lang w:val="hu-HU"/>
        </w:rPr>
        <w:t>a, hogy 1) indokolt-e több szerződés összevonása, s azok együttes elemzése annak megállapítására, hogy az összevont szerződés is teljesíti-e a biztosítási szerződés fogalmát</w:t>
      </w:r>
      <w:r w:rsidR="00FE2324" w:rsidRPr="00443B6F">
        <w:rPr>
          <w:rFonts w:eastAsiaTheme="minorHAnsi"/>
          <w:bCs/>
          <w:iCs/>
          <w:lang w:val="hu-HU"/>
        </w:rPr>
        <w:t xml:space="preserve"> </w:t>
      </w:r>
      <w:r w:rsidR="00735594" w:rsidRPr="00443B6F">
        <w:rPr>
          <w:rFonts w:eastAsiaTheme="minorHAnsi"/>
          <w:bCs/>
          <w:iCs/>
          <w:lang w:val="hu-HU"/>
        </w:rPr>
        <w:t xml:space="preserve">(mely esetben e szerződéseket számviteli szempontból összevontan egyetlen szerződésként kell kezelni) </w:t>
      </w:r>
      <w:r w:rsidR="00DC6B29" w:rsidRPr="00443B6F">
        <w:rPr>
          <w:rFonts w:eastAsiaTheme="minorHAnsi"/>
          <w:bCs/>
          <w:iCs/>
          <w:lang w:val="hu-HU"/>
        </w:rPr>
        <w:t xml:space="preserve">illetve, hogy 2) szükséges-e </w:t>
      </w:r>
      <w:r w:rsidR="00FE2324" w:rsidRPr="00443B6F">
        <w:rPr>
          <w:rFonts w:eastAsiaTheme="minorHAnsi"/>
          <w:bCs/>
          <w:iCs/>
          <w:lang w:val="hu-HU"/>
        </w:rPr>
        <w:t xml:space="preserve">a szerződés egyes </w:t>
      </w:r>
      <w:r w:rsidR="00735594" w:rsidRPr="00443B6F">
        <w:rPr>
          <w:rFonts w:eastAsiaTheme="minorHAnsi"/>
          <w:bCs/>
          <w:iCs/>
          <w:lang w:val="hu-HU"/>
        </w:rPr>
        <w:t xml:space="preserve">komponenseinek </w:t>
      </w:r>
      <w:r w:rsidR="00FE2324" w:rsidRPr="00443B6F">
        <w:rPr>
          <w:rFonts w:eastAsiaTheme="minorHAnsi"/>
          <w:bCs/>
          <w:iCs/>
          <w:lang w:val="hu-HU"/>
        </w:rPr>
        <w:t xml:space="preserve">leválasztása, s így a </w:t>
      </w:r>
      <w:r w:rsidR="00DC6B29" w:rsidRPr="00443B6F">
        <w:rPr>
          <w:rFonts w:eastAsiaTheme="minorHAnsi"/>
          <w:bCs/>
          <w:iCs/>
          <w:lang w:val="hu-HU"/>
        </w:rPr>
        <w:t xml:space="preserve">leválasztott </w:t>
      </w:r>
      <w:r w:rsidR="00735594" w:rsidRPr="00443B6F">
        <w:rPr>
          <w:rFonts w:eastAsiaTheme="minorHAnsi"/>
          <w:bCs/>
          <w:iCs/>
          <w:lang w:val="hu-HU"/>
        </w:rPr>
        <w:t xml:space="preserve">komponensek </w:t>
      </w:r>
      <w:r w:rsidR="00FE2324" w:rsidRPr="00443B6F">
        <w:rPr>
          <w:rFonts w:eastAsiaTheme="minorHAnsi"/>
          <w:bCs/>
          <w:iCs/>
          <w:lang w:val="hu-HU"/>
        </w:rPr>
        <w:t>más szabványok alapján való elszámolása.</w:t>
      </w:r>
    </w:p>
    <w:p w14:paraId="33596159" w14:textId="77777777" w:rsidR="00FE2324" w:rsidRPr="00443B6F" w:rsidRDefault="00FE2324" w:rsidP="00E80D5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3FB336B0" w14:textId="0E1B0026" w:rsidR="00543F91" w:rsidRDefault="00CA20F8" w:rsidP="00E80D5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lastRenderedPageBreak/>
        <w:t xml:space="preserve">A szabvány előírásai szerint </w:t>
      </w:r>
      <w:r w:rsidR="00FE2324" w:rsidRPr="00443B6F">
        <w:rPr>
          <w:rFonts w:eastAsiaTheme="minorHAnsi"/>
          <w:bCs/>
          <w:iCs/>
          <w:lang w:val="hu-HU"/>
        </w:rPr>
        <w:t xml:space="preserve">akkor </w:t>
      </w:r>
      <w:r w:rsidRPr="00443B6F">
        <w:rPr>
          <w:rFonts w:eastAsiaTheme="minorHAnsi"/>
          <w:bCs/>
          <w:iCs/>
          <w:lang w:val="hu-HU"/>
        </w:rPr>
        <w:t>szükséges több</w:t>
      </w:r>
      <w:r w:rsidR="00F06452" w:rsidRPr="00443B6F">
        <w:rPr>
          <w:rFonts w:eastAsiaTheme="minorHAnsi"/>
          <w:bCs/>
          <w:iCs/>
          <w:lang w:val="hu-HU"/>
        </w:rPr>
        <w:t xml:space="preserve"> biztosítási szerződés </w:t>
      </w:r>
      <w:r w:rsidR="00985ED6" w:rsidRPr="00443B6F">
        <w:rPr>
          <w:rFonts w:eastAsiaTheme="minorHAnsi"/>
          <w:bCs/>
          <w:iCs/>
          <w:lang w:val="hu-HU"/>
        </w:rPr>
        <w:t xml:space="preserve">egy </w:t>
      </w:r>
      <w:r w:rsidR="00FE2324" w:rsidRPr="00443B6F">
        <w:rPr>
          <w:rFonts w:eastAsiaTheme="minorHAnsi"/>
          <w:bCs/>
          <w:iCs/>
          <w:lang w:val="hu-HU"/>
        </w:rPr>
        <w:t>szerződésként való kezelés</w:t>
      </w:r>
      <w:r w:rsidR="00F06452" w:rsidRPr="00443B6F">
        <w:rPr>
          <w:rFonts w:eastAsiaTheme="minorHAnsi"/>
          <w:bCs/>
          <w:iCs/>
          <w:lang w:val="hu-HU"/>
        </w:rPr>
        <w:t xml:space="preserve">e, </w:t>
      </w:r>
      <w:r w:rsidR="00FE2324" w:rsidRPr="00443B6F">
        <w:rPr>
          <w:rFonts w:eastAsiaTheme="minorHAnsi"/>
          <w:bCs/>
          <w:iCs/>
          <w:lang w:val="hu-HU"/>
        </w:rPr>
        <w:t>amennyiben</w:t>
      </w:r>
      <w:r w:rsidR="00F06452" w:rsidRPr="00443B6F">
        <w:rPr>
          <w:rFonts w:eastAsiaTheme="minorHAnsi"/>
          <w:bCs/>
          <w:iCs/>
          <w:lang w:val="hu-HU"/>
        </w:rPr>
        <w:t xml:space="preserve"> a szerződések</w:t>
      </w:r>
      <w:r w:rsidR="00985ED6" w:rsidRPr="00443B6F">
        <w:rPr>
          <w:rFonts w:eastAsiaTheme="minorHAnsi"/>
          <w:bCs/>
          <w:iCs/>
          <w:lang w:val="hu-HU"/>
        </w:rPr>
        <w:t xml:space="preserve"> </w:t>
      </w:r>
      <w:r w:rsidR="003E5EA2" w:rsidRPr="00443B6F">
        <w:rPr>
          <w:rFonts w:eastAsiaTheme="minorHAnsi"/>
          <w:bCs/>
          <w:iCs/>
          <w:lang w:val="hu-HU"/>
        </w:rPr>
        <w:t xml:space="preserve">együttesen érik el a szerződéses felek által kívánt eredményt. Ilyen lehet az </w:t>
      </w:r>
      <w:r w:rsidR="00F06452" w:rsidRPr="00443B6F">
        <w:rPr>
          <w:rFonts w:eastAsiaTheme="minorHAnsi"/>
          <w:bCs/>
          <w:iCs/>
          <w:lang w:val="hu-HU"/>
        </w:rPr>
        <w:t>ugyanazzal a kötvénytulajdonossal vagy egymással kapcsolt viszonyban lévő kötvénytulajdonosokkal szemben megköt</w:t>
      </w:r>
      <w:r w:rsidR="003E5EA2" w:rsidRPr="00443B6F">
        <w:rPr>
          <w:rFonts w:eastAsiaTheme="minorHAnsi"/>
          <w:bCs/>
          <w:iCs/>
          <w:lang w:val="hu-HU"/>
        </w:rPr>
        <w:t xml:space="preserve">ött szerződések, melyek </w:t>
      </w:r>
      <w:r w:rsidR="00985ED6" w:rsidRPr="00443B6F">
        <w:rPr>
          <w:rFonts w:eastAsiaTheme="minorHAnsi"/>
          <w:bCs/>
          <w:iCs/>
          <w:lang w:val="hu-HU"/>
        </w:rPr>
        <w:t xml:space="preserve">egy közös </w:t>
      </w:r>
      <w:r w:rsidR="00FE2324" w:rsidRPr="00443B6F">
        <w:rPr>
          <w:rFonts w:eastAsiaTheme="minorHAnsi"/>
          <w:bCs/>
          <w:iCs/>
          <w:lang w:val="hu-HU"/>
        </w:rPr>
        <w:t>gazdasági célt szolgálnak</w:t>
      </w:r>
      <w:r w:rsidR="00985ED6" w:rsidRPr="00443B6F">
        <w:rPr>
          <w:rFonts w:eastAsiaTheme="minorHAnsi"/>
          <w:bCs/>
          <w:iCs/>
          <w:lang w:val="hu-HU"/>
        </w:rPr>
        <w:t xml:space="preserve">. Ezen előírás </w:t>
      </w:r>
      <w:r w:rsidR="006546FE" w:rsidRPr="00443B6F">
        <w:rPr>
          <w:rFonts w:eastAsiaTheme="minorHAnsi"/>
          <w:bCs/>
          <w:iCs/>
          <w:lang w:val="hu-HU"/>
        </w:rPr>
        <w:t xml:space="preserve">alapján </w:t>
      </w:r>
      <w:r w:rsidR="00BD77F8" w:rsidRPr="00443B6F">
        <w:rPr>
          <w:rFonts w:eastAsiaTheme="minorHAnsi"/>
          <w:bCs/>
          <w:iCs/>
          <w:lang w:val="hu-HU"/>
        </w:rPr>
        <w:t>szükséges lehet egyes</w:t>
      </w:r>
      <w:r w:rsidR="00F501E8" w:rsidRPr="00443B6F">
        <w:rPr>
          <w:rFonts w:eastAsiaTheme="minorHAnsi"/>
          <w:bCs/>
          <w:iCs/>
          <w:lang w:val="hu-HU"/>
        </w:rPr>
        <w:t xml:space="preserve"> fronting</w:t>
      </w:r>
      <w:r w:rsidR="00735594" w:rsidRPr="00443B6F">
        <w:rPr>
          <w:rFonts w:eastAsiaTheme="minorHAnsi"/>
          <w:bCs/>
          <w:iCs/>
          <w:lang w:val="hu-HU"/>
        </w:rPr>
        <w:t>-</w:t>
      </w:r>
      <w:r w:rsidR="00F501E8" w:rsidRPr="00443B6F">
        <w:rPr>
          <w:rFonts w:eastAsiaTheme="minorHAnsi"/>
          <w:bCs/>
          <w:iCs/>
          <w:lang w:val="hu-HU"/>
        </w:rPr>
        <w:t>szerződések elszámolásának újragondolására (</w:t>
      </w:r>
      <w:r w:rsidR="005D7454" w:rsidRPr="00443B6F">
        <w:rPr>
          <w:rFonts w:eastAsiaTheme="minorHAnsi"/>
          <w:bCs/>
          <w:iCs/>
          <w:lang w:val="hu-HU"/>
        </w:rPr>
        <w:t>pl.</w:t>
      </w:r>
      <w:r w:rsidR="00F501E8" w:rsidRPr="00443B6F">
        <w:rPr>
          <w:rFonts w:eastAsiaTheme="minorHAnsi"/>
          <w:bCs/>
          <w:iCs/>
          <w:lang w:val="hu-HU"/>
        </w:rPr>
        <w:t xml:space="preserve"> </w:t>
      </w:r>
      <w:r w:rsidR="006B526C" w:rsidRPr="00443B6F">
        <w:rPr>
          <w:rFonts w:eastAsiaTheme="minorHAnsi"/>
          <w:bCs/>
          <w:iCs/>
          <w:lang w:val="hu-HU"/>
        </w:rPr>
        <w:t xml:space="preserve">magyar piacon tevékenykedő, ámde világszinten is megjelenő társaság magyar biztosító közvetítésével köt – fronting szerződés formájában </w:t>
      </w:r>
      <w:r w:rsidR="005D7454" w:rsidRPr="00443B6F">
        <w:rPr>
          <w:rFonts w:eastAsiaTheme="minorHAnsi"/>
          <w:bCs/>
          <w:iCs/>
          <w:lang w:val="hu-HU"/>
        </w:rPr>
        <w:t xml:space="preserve">- </w:t>
      </w:r>
      <w:r w:rsidR="006B526C" w:rsidRPr="00443B6F">
        <w:rPr>
          <w:rFonts w:eastAsiaTheme="minorHAnsi"/>
          <w:bCs/>
          <w:iCs/>
          <w:lang w:val="hu-HU"/>
        </w:rPr>
        <w:t>biztosítást a csoport saját (</w:t>
      </w:r>
      <w:proofErr w:type="spellStart"/>
      <w:r w:rsidR="006B526C" w:rsidRPr="00443B6F">
        <w:rPr>
          <w:rFonts w:eastAsiaTheme="minorHAnsi"/>
          <w:bCs/>
          <w:iCs/>
          <w:lang w:val="hu-HU"/>
        </w:rPr>
        <w:t>captive</w:t>
      </w:r>
      <w:proofErr w:type="spellEnd"/>
      <w:r w:rsidR="006B526C" w:rsidRPr="00443B6F">
        <w:rPr>
          <w:rFonts w:eastAsiaTheme="minorHAnsi"/>
          <w:bCs/>
          <w:iCs/>
          <w:lang w:val="hu-HU"/>
        </w:rPr>
        <w:t>) biztosítójával).</w:t>
      </w:r>
      <w:r w:rsidR="00BD77F8" w:rsidRPr="00443B6F">
        <w:rPr>
          <w:rFonts w:eastAsiaTheme="minorHAnsi"/>
          <w:bCs/>
          <w:iCs/>
          <w:lang w:val="hu-HU"/>
        </w:rPr>
        <w:t xml:space="preserve"> Ekkor egyebek mellett azt is meg kell</w:t>
      </w:r>
      <w:r w:rsidR="00BD77F8" w:rsidRPr="00443B6F">
        <w:rPr>
          <w:rFonts w:asciiTheme="majorHAnsi" w:eastAsiaTheme="minorHAnsi" w:hAnsiTheme="majorHAnsi" w:cs="SwiftEF-Light"/>
          <w:lang w:val="hu-HU"/>
        </w:rPr>
        <w:t xml:space="preserve"> </w:t>
      </w:r>
      <w:r w:rsidR="00BD77F8" w:rsidRPr="00443B6F">
        <w:rPr>
          <w:rFonts w:eastAsiaTheme="minorHAnsi"/>
          <w:bCs/>
          <w:iCs/>
          <w:lang w:val="hu-HU"/>
        </w:rPr>
        <w:t>vizsgálni, hogy mely szerződéses fél viseli a kockázatot (nevezetesen milyen kötelezettséget vállal</w:t>
      </w:r>
      <w:r w:rsidR="00F546AC" w:rsidRPr="00443B6F">
        <w:rPr>
          <w:rFonts w:eastAsiaTheme="minorHAnsi"/>
          <w:bCs/>
          <w:iCs/>
          <w:lang w:val="hu-HU"/>
        </w:rPr>
        <w:t>,</w:t>
      </w:r>
      <w:r w:rsidR="00BD77F8" w:rsidRPr="00443B6F">
        <w:rPr>
          <w:rFonts w:eastAsiaTheme="minorHAnsi"/>
          <w:bCs/>
          <w:iCs/>
          <w:lang w:val="hu-HU"/>
        </w:rPr>
        <w:t xml:space="preserve"> ill</w:t>
      </w:r>
      <w:r w:rsidR="00F546AC" w:rsidRPr="00443B6F">
        <w:rPr>
          <w:rFonts w:eastAsiaTheme="minorHAnsi"/>
          <w:bCs/>
          <w:iCs/>
          <w:lang w:val="hu-HU"/>
        </w:rPr>
        <w:t>etve vállal-e egyáltalán kockázatot</w:t>
      </w:r>
      <w:r w:rsidR="00BD77F8" w:rsidRPr="00443B6F">
        <w:rPr>
          <w:rFonts w:eastAsiaTheme="minorHAnsi"/>
          <w:bCs/>
          <w:iCs/>
          <w:lang w:val="hu-HU"/>
        </w:rPr>
        <w:t xml:space="preserve"> a direkt biztosító).</w:t>
      </w:r>
    </w:p>
    <w:p w14:paraId="3CE16CB3" w14:textId="77777777" w:rsidR="002D5A3D" w:rsidRPr="00443B6F" w:rsidRDefault="002D5A3D" w:rsidP="00E80D50">
      <w:pPr>
        <w:spacing w:after="120" w:line="276" w:lineRule="auto"/>
        <w:ind w:firstLine="0"/>
        <w:rPr>
          <w:lang w:val="hu-HU"/>
        </w:rPr>
      </w:pPr>
    </w:p>
    <w:p w14:paraId="67B8BBDC" w14:textId="2F13E007" w:rsidR="009272D3" w:rsidRDefault="00985ED6" w:rsidP="00E80D50">
      <w:pPr>
        <w:spacing w:after="120" w:line="276" w:lineRule="auto"/>
        <w:ind w:firstLine="0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szerződések bizonyos esetekben szükséges kombinált kiértékelésén túlmenően </w:t>
      </w:r>
      <w:r w:rsidR="00CC6BDB" w:rsidRPr="00443B6F">
        <w:rPr>
          <w:rFonts w:eastAsiaTheme="minorHAnsi"/>
          <w:lang w:val="hu-HU"/>
        </w:rPr>
        <w:t xml:space="preserve">kiemelt jelentőséggel bír a már az IFRS4-es szabványban is szereplő </w:t>
      </w:r>
      <w:r w:rsidR="00735594" w:rsidRPr="00443B6F">
        <w:rPr>
          <w:rFonts w:eastAsiaTheme="minorHAnsi"/>
          <w:lang w:val="hu-HU"/>
        </w:rPr>
        <w:t xml:space="preserve">leválasztás </w:t>
      </w:r>
      <w:r w:rsidR="00CC6BDB" w:rsidRPr="00443B6F">
        <w:rPr>
          <w:rFonts w:eastAsiaTheme="minorHAnsi"/>
          <w:lang w:val="hu-HU"/>
        </w:rPr>
        <w:t>fogalma, mely egy szerződés több komponensre való bontását követeli meg a számviteli elszámolásban (és a kapcsolódó értékelésben</w:t>
      </w:r>
      <w:r w:rsidR="0044206D" w:rsidRPr="00443B6F">
        <w:rPr>
          <w:rFonts w:eastAsiaTheme="minorHAnsi"/>
          <w:lang w:val="hu-HU"/>
        </w:rPr>
        <w:t>)</w:t>
      </w:r>
      <w:r w:rsidR="00CC6BDB" w:rsidRPr="00443B6F">
        <w:rPr>
          <w:rFonts w:eastAsiaTheme="minorHAnsi"/>
          <w:lang w:val="hu-HU"/>
        </w:rPr>
        <w:t xml:space="preserve">. </w:t>
      </w:r>
      <w:r w:rsidR="009272D3" w:rsidRPr="00443B6F">
        <w:rPr>
          <w:rFonts w:eastAsiaTheme="minorHAnsi"/>
          <w:lang w:val="hu-HU"/>
        </w:rPr>
        <w:t xml:space="preserve">A </w:t>
      </w:r>
      <w:r w:rsidR="00735594" w:rsidRPr="00443B6F">
        <w:rPr>
          <w:rFonts w:eastAsiaTheme="minorHAnsi"/>
          <w:lang w:val="hu-HU"/>
        </w:rPr>
        <w:t>le</w:t>
      </w:r>
      <w:r w:rsidR="009272D3" w:rsidRPr="00443B6F">
        <w:rPr>
          <w:rFonts w:eastAsiaTheme="minorHAnsi"/>
          <w:lang w:val="hu-HU"/>
        </w:rPr>
        <w:t xml:space="preserve">választás </w:t>
      </w:r>
      <w:r w:rsidR="009C33AE" w:rsidRPr="00443B6F">
        <w:rPr>
          <w:rFonts w:eastAsiaTheme="minorHAnsi"/>
          <w:lang w:val="hu-HU"/>
        </w:rPr>
        <w:t xml:space="preserve">kérdése </w:t>
      </w:r>
      <w:r w:rsidR="009272D3" w:rsidRPr="00443B6F">
        <w:rPr>
          <w:rFonts w:eastAsiaTheme="minorHAnsi"/>
          <w:lang w:val="hu-HU"/>
        </w:rPr>
        <w:t xml:space="preserve">akkor </w:t>
      </w:r>
      <w:r w:rsidR="00D106C6" w:rsidRPr="00443B6F">
        <w:rPr>
          <w:rFonts w:eastAsiaTheme="minorHAnsi"/>
          <w:lang w:val="hu-HU"/>
        </w:rPr>
        <w:t>releváns</w:t>
      </w:r>
      <w:r w:rsidR="00B6044C" w:rsidRPr="00443B6F">
        <w:rPr>
          <w:rFonts w:eastAsiaTheme="minorHAnsi"/>
          <w:lang w:val="hu-HU"/>
        </w:rPr>
        <w:t>,</w:t>
      </w:r>
      <w:r w:rsidR="009272D3" w:rsidRPr="00443B6F">
        <w:rPr>
          <w:rFonts w:eastAsiaTheme="minorHAnsi"/>
          <w:lang w:val="hu-HU"/>
        </w:rPr>
        <w:t xml:space="preserve"> ha a szerződés egyes elemei önálló szerződésként </w:t>
      </w:r>
      <w:r w:rsidR="000B3158" w:rsidRPr="00443B6F">
        <w:rPr>
          <w:rFonts w:eastAsiaTheme="minorHAnsi"/>
          <w:lang w:val="hu-HU"/>
        </w:rPr>
        <w:t>az IFRS</w:t>
      </w:r>
      <w:r w:rsidR="00B27308" w:rsidRPr="00443B6F">
        <w:rPr>
          <w:rFonts w:eastAsiaTheme="minorHAnsi"/>
          <w:lang w:val="hu-HU"/>
        </w:rPr>
        <w:t xml:space="preserve">17-től eltérő </w:t>
      </w:r>
      <w:r w:rsidR="009272D3" w:rsidRPr="00443B6F">
        <w:rPr>
          <w:rFonts w:eastAsiaTheme="minorHAnsi"/>
          <w:lang w:val="hu-HU"/>
        </w:rPr>
        <w:t>s</w:t>
      </w:r>
      <w:r w:rsidR="00F546AC" w:rsidRPr="00443B6F">
        <w:rPr>
          <w:rFonts w:eastAsiaTheme="minorHAnsi"/>
          <w:lang w:val="hu-HU"/>
        </w:rPr>
        <w:t>zabvány</w:t>
      </w:r>
      <w:r w:rsidR="009272D3" w:rsidRPr="00443B6F">
        <w:rPr>
          <w:rFonts w:eastAsiaTheme="minorHAnsi"/>
          <w:lang w:val="hu-HU"/>
        </w:rPr>
        <w:t xml:space="preserve"> hatálya alá esnének.</w:t>
      </w:r>
    </w:p>
    <w:p w14:paraId="28862D95" w14:textId="77777777" w:rsidR="002D5A3D" w:rsidRPr="00443B6F" w:rsidRDefault="002D5A3D" w:rsidP="00E80D50">
      <w:pPr>
        <w:spacing w:after="120" w:line="276" w:lineRule="auto"/>
        <w:ind w:firstLine="0"/>
        <w:rPr>
          <w:rFonts w:eastAsiaTheme="minorHAnsi"/>
          <w:lang w:val="hu-HU"/>
        </w:rPr>
      </w:pPr>
    </w:p>
    <w:p w14:paraId="350BD07F" w14:textId="780E1402" w:rsidR="009272D3" w:rsidRPr="00443B6F" w:rsidRDefault="009272D3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Fonts w:eastAsiaTheme="minorHAnsi"/>
          <w:lang w:val="hu-HU"/>
        </w:rPr>
        <w:t>A s</w:t>
      </w:r>
      <w:r w:rsidR="00D106C6" w:rsidRPr="00443B6F">
        <w:rPr>
          <w:rFonts w:eastAsiaTheme="minorHAnsi"/>
          <w:lang w:val="hu-HU"/>
        </w:rPr>
        <w:t>zabvány</w:t>
      </w:r>
      <w:r w:rsidRPr="00443B6F">
        <w:rPr>
          <w:rFonts w:eastAsiaTheme="minorHAnsi"/>
          <w:lang w:val="hu-HU"/>
        </w:rPr>
        <w:t xml:space="preserve"> az alábbi elemek leválasztására tér ki:</w:t>
      </w:r>
    </w:p>
    <w:p w14:paraId="214A6F5B" w14:textId="6F6BC47C" w:rsidR="009272D3" w:rsidRPr="00443B6F" w:rsidRDefault="009272D3" w:rsidP="00E80D50">
      <w:pPr>
        <w:pStyle w:val="ListNumber"/>
        <w:numPr>
          <w:ilvl w:val="0"/>
          <w:numId w:val="29"/>
        </w:numPr>
        <w:tabs>
          <w:tab w:val="num" w:pos="360"/>
        </w:tabs>
        <w:ind w:left="360"/>
        <w:rPr>
          <w:bCs/>
          <w:iCs/>
          <w:lang w:val="hu-HU"/>
        </w:rPr>
      </w:pPr>
      <w:r w:rsidRPr="00443B6F">
        <w:rPr>
          <w:color w:val="548DD4" w:themeColor="text2" w:themeTint="99"/>
          <w:lang w:val="hu-HU"/>
        </w:rPr>
        <w:t xml:space="preserve">Beágyazott </w:t>
      </w:r>
      <w:proofErr w:type="spellStart"/>
      <w:r w:rsidRPr="00443B6F">
        <w:rPr>
          <w:color w:val="548DD4" w:themeColor="text2" w:themeTint="99"/>
          <w:lang w:val="hu-HU"/>
        </w:rPr>
        <w:t>derivatívák</w:t>
      </w:r>
      <w:proofErr w:type="spellEnd"/>
      <w:r w:rsidRPr="00443B6F">
        <w:rPr>
          <w:bCs/>
          <w:iCs/>
          <w:lang w:val="hu-HU"/>
        </w:rPr>
        <w:t xml:space="preserve"> (</w:t>
      </w:r>
      <w:proofErr w:type="spellStart"/>
      <w:r w:rsidRPr="00443B6F">
        <w:rPr>
          <w:bCs/>
          <w:iCs/>
          <w:lang w:val="hu-HU"/>
        </w:rPr>
        <w:t>embedded</w:t>
      </w:r>
      <w:proofErr w:type="spellEnd"/>
      <w:r w:rsidRPr="00443B6F">
        <w:rPr>
          <w:bCs/>
          <w:iCs/>
          <w:lang w:val="hu-HU"/>
        </w:rPr>
        <w:t xml:space="preserve"> </w:t>
      </w:r>
      <w:proofErr w:type="spellStart"/>
      <w:r w:rsidRPr="00443B6F">
        <w:rPr>
          <w:bCs/>
          <w:iCs/>
          <w:lang w:val="hu-HU"/>
        </w:rPr>
        <w:t>derivatives</w:t>
      </w:r>
      <w:proofErr w:type="spellEnd"/>
      <w:r w:rsidRPr="00443B6F">
        <w:rPr>
          <w:bCs/>
          <w:iCs/>
          <w:lang w:val="hu-HU"/>
        </w:rPr>
        <w:t>)</w:t>
      </w:r>
    </w:p>
    <w:p w14:paraId="3F9EBA05" w14:textId="3FF8083B" w:rsidR="009272D3" w:rsidRPr="00443B6F" w:rsidRDefault="009272D3" w:rsidP="00E80D50">
      <w:pPr>
        <w:pStyle w:val="ListNumber"/>
        <w:numPr>
          <w:ilvl w:val="0"/>
          <w:numId w:val="29"/>
        </w:numPr>
        <w:tabs>
          <w:tab w:val="num" w:pos="360"/>
        </w:tabs>
        <w:ind w:left="360"/>
        <w:rPr>
          <w:bCs/>
          <w:iCs/>
          <w:lang w:val="hu-HU"/>
        </w:rPr>
      </w:pPr>
      <w:r w:rsidRPr="00443B6F">
        <w:rPr>
          <w:color w:val="548DD4" w:themeColor="text2" w:themeTint="99"/>
          <w:lang w:val="hu-HU"/>
        </w:rPr>
        <w:t xml:space="preserve">Befektetési </w:t>
      </w:r>
      <w:r w:rsidR="00CC6BDB" w:rsidRPr="00443B6F">
        <w:rPr>
          <w:color w:val="548DD4" w:themeColor="text2" w:themeTint="99"/>
          <w:lang w:val="hu-HU"/>
        </w:rPr>
        <w:t>komponens</w:t>
      </w:r>
      <w:r w:rsidRPr="00443B6F">
        <w:rPr>
          <w:bCs/>
          <w:iCs/>
          <w:lang w:val="hu-HU"/>
        </w:rPr>
        <w:t xml:space="preserve"> (</w:t>
      </w:r>
      <w:proofErr w:type="spellStart"/>
      <w:r w:rsidRPr="00443B6F">
        <w:rPr>
          <w:bCs/>
          <w:iCs/>
          <w:lang w:val="hu-HU"/>
        </w:rPr>
        <w:t>investment</w:t>
      </w:r>
      <w:proofErr w:type="spellEnd"/>
      <w:r w:rsidRPr="00443B6F">
        <w:rPr>
          <w:bCs/>
          <w:iCs/>
          <w:lang w:val="hu-HU"/>
        </w:rPr>
        <w:t xml:space="preserve"> </w:t>
      </w:r>
      <w:proofErr w:type="spellStart"/>
      <w:r w:rsidRPr="00443B6F">
        <w:rPr>
          <w:bCs/>
          <w:iCs/>
          <w:lang w:val="hu-HU"/>
        </w:rPr>
        <w:t>component</w:t>
      </w:r>
      <w:r w:rsidR="00735594" w:rsidRPr="00443B6F">
        <w:rPr>
          <w:bCs/>
          <w:iCs/>
          <w:lang w:val="hu-HU"/>
        </w:rPr>
        <w:t>s</w:t>
      </w:r>
      <w:proofErr w:type="spellEnd"/>
      <w:r w:rsidRPr="00443B6F">
        <w:rPr>
          <w:bCs/>
          <w:iCs/>
          <w:lang w:val="hu-HU"/>
        </w:rPr>
        <w:t>)</w:t>
      </w:r>
    </w:p>
    <w:p w14:paraId="475321FD" w14:textId="1426A9DD" w:rsidR="009272D3" w:rsidRPr="00443B6F" w:rsidRDefault="009272D3" w:rsidP="00E80D50">
      <w:pPr>
        <w:pStyle w:val="ListNumber"/>
        <w:numPr>
          <w:ilvl w:val="0"/>
          <w:numId w:val="29"/>
        </w:numPr>
        <w:tabs>
          <w:tab w:val="num" w:pos="360"/>
        </w:tabs>
        <w:ind w:left="360"/>
        <w:rPr>
          <w:bCs/>
          <w:iCs/>
          <w:lang w:val="hu-HU"/>
        </w:rPr>
      </w:pPr>
      <w:r w:rsidRPr="00443B6F">
        <w:rPr>
          <w:bCs/>
          <w:iCs/>
          <w:lang w:val="hu-HU"/>
        </w:rPr>
        <w:t>Teljesítési kötelem</w:t>
      </w:r>
      <w:r w:rsidR="00162CA5" w:rsidRPr="00443B6F">
        <w:rPr>
          <w:bCs/>
          <w:iCs/>
          <w:lang w:val="hu-HU"/>
        </w:rPr>
        <w:t>, szolgáltatási elem</w:t>
      </w:r>
      <w:r w:rsidRPr="00443B6F">
        <w:rPr>
          <w:bCs/>
          <w:iCs/>
          <w:lang w:val="hu-HU"/>
        </w:rPr>
        <w:t xml:space="preserve"> (performance </w:t>
      </w:r>
      <w:proofErr w:type="spellStart"/>
      <w:r w:rsidRPr="00443B6F">
        <w:rPr>
          <w:bCs/>
          <w:iCs/>
          <w:lang w:val="hu-HU"/>
        </w:rPr>
        <w:t>obligation</w:t>
      </w:r>
      <w:proofErr w:type="spellEnd"/>
      <w:r w:rsidR="004C7082" w:rsidRPr="00443B6F">
        <w:rPr>
          <w:bCs/>
          <w:iCs/>
          <w:lang w:val="hu-HU"/>
        </w:rPr>
        <w:t xml:space="preserve">, </w:t>
      </w:r>
      <w:proofErr w:type="spellStart"/>
      <w:r w:rsidR="004C7082" w:rsidRPr="00443B6F">
        <w:rPr>
          <w:bCs/>
          <w:iCs/>
          <w:lang w:val="hu-HU"/>
        </w:rPr>
        <w:t>service</w:t>
      </w:r>
      <w:proofErr w:type="spellEnd"/>
      <w:r w:rsidR="004C7082" w:rsidRPr="00443B6F">
        <w:rPr>
          <w:bCs/>
          <w:iCs/>
          <w:lang w:val="hu-HU"/>
        </w:rPr>
        <w:t xml:space="preserve"> </w:t>
      </w:r>
      <w:proofErr w:type="spellStart"/>
      <w:r w:rsidR="004C7082" w:rsidRPr="00443B6F">
        <w:rPr>
          <w:bCs/>
          <w:iCs/>
          <w:lang w:val="hu-HU"/>
        </w:rPr>
        <w:t>component</w:t>
      </w:r>
      <w:proofErr w:type="spellEnd"/>
      <w:r w:rsidRPr="00443B6F">
        <w:rPr>
          <w:bCs/>
          <w:iCs/>
          <w:lang w:val="hu-HU"/>
        </w:rPr>
        <w:t>)</w:t>
      </w:r>
    </w:p>
    <w:p w14:paraId="2A4F405A" w14:textId="355C9F74" w:rsidR="000B3158" w:rsidRPr="00443B6F" w:rsidRDefault="000B3158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 xml:space="preserve">A leválasztást a fenti </w:t>
      </w:r>
      <w:r w:rsidRPr="00443B6F">
        <w:rPr>
          <w:rFonts w:eastAsiaTheme="minorHAnsi"/>
          <w:bCs/>
          <w:iCs/>
          <w:lang w:val="hu-HU"/>
        </w:rPr>
        <w:t>sorrendben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 írja elő.</w:t>
      </w:r>
    </w:p>
    <w:p w14:paraId="214B4003" w14:textId="77777777" w:rsidR="002D5A3D" w:rsidRDefault="002D5A3D" w:rsidP="000F260B">
      <w:pPr>
        <w:spacing w:after="120" w:line="276" w:lineRule="auto"/>
        <w:ind w:firstLine="0"/>
        <w:rPr>
          <w:rFonts w:eastAsiaTheme="minorHAnsi"/>
          <w:bCs/>
          <w:i/>
          <w:lang w:val="hu-HU"/>
        </w:rPr>
      </w:pPr>
    </w:p>
    <w:p w14:paraId="3D798AA5" w14:textId="3E8F7A15" w:rsidR="000F260B" w:rsidRPr="00443B6F" w:rsidRDefault="000F260B" w:rsidP="000F260B">
      <w:pPr>
        <w:spacing w:after="120" w:line="276" w:lineRule="auto"/>
        <w:ind w:firstLine="0"/>
        <w:rPr>
          <w:rFonts w:eastAsiaTheme="minorHAnsi"/>
          <w:bCs/>
          <w:i/>
          <w:lang w:val="hu-HU"/>
        </w:rPr>
      </w:pPr>
      <w:r w:rsidRPr="00443B6F">
        <w:rPr>
          <w:rFonts w:eastAsiaTheme="minorHAnsi"/>
          <w:bCs/>
          <w:i/>
          <w:lang w:val="hu-HU"/>
        </w:rPr>
        <w:t>Szerződések komponenseinek leválasztásához tartozó, 2020 júniusában elfogadott (</w:t>
      </w:r>
      <w:r w:rsidRPr="00443B6F">
        <w:rPr>
          <w:rStyle w:val="Standard"/>
          <w:rFonts w:cstheme="minorHAnsi"/>
          <w:i/>
        </w:rPr>
        <w:t xml:space="preserve">10., 11. illetve a 12. </w:t>
      </w:r>
      <w:r w:rsidRPr="00443B6F">
        <w:rPr>
          <w:rStyle w:val="Standard"/>
          <w:rFonts w:eastAsiaTheme="minorHAnsi" w:cstheme="minorHAnsi"/>
          <w:i/>
        </w:rPr>
        <w:t>bekezdésben</w:t>
      </w:r>
      <w:r w:rsidRPr="00443B6F">
        <w:rPr>
          <w:rStyle w:val="Standard"/>
          <w:rFonts w:cstheme="minorHAnsi"/>
          <w:i/>
        </w:rPr>
        <w:t xml:space="preserve"> </w:t>
      </w:r>
      <w:r w:rsidRPr="00443B6F">
        <w:rPr>
          <w:rFonts w:eastAsiaTheme="minorHAnsi"/>
          <w:bCs/>
          <w:i/>
          <w:lang w:val="hu-HU"/>
        </w:rPr>
        <w:t>megjelenő) módosítás</w:t>
      </w:r>
      <w:r w:rsidR="00C3473B" w:rsidRPr="00443B6F">
        <w:rPr>
          <w:rFonts w:eastAsiaTheme="minorHAnsi"/>
          <w:bCs/>
          <w:i/>
          <w:lang w:val="hu-HU"/>
        </w:rPr>
        <w:t xml:space="preserve"> fogalmi pontosításokon túl</w:t>
      </w:r>
      <w:r w:rsidRPr="00443B6F">
        <w:rPr>
          <w:rFonts w:eastAsiaTheme="minorHAnsi"/>
          <w:bCs/>
          <w:i/>
          <w:lang w:val="hu-HU"/>
        </w:rPr>
        <w:t xml:space="preserve">, hogy </w:t>
      </w:r>
      <w:r w:rsidR="00C3473B" w:rsidRPr="00443B6F">
        <w:rPr>
          <w:rFonts w:eastAsiaTheme="minorHAnsi"/>
          <w:bCs/>
          <w:i/>
          <w:lang w:val="hu-HU"/>
        </w:rPr>
        <w:t>diszkrecionális nyereségrészesedést tartalmazó befektetési szerződéseket IFRS17 szerint (és nem IFRS 9 szerint) kell értékelni és nem kell leválasztani.</w:t>
      </w:r>
    </w:p>
    <w:p w14:paraId="3D5DEBB9" w14:textId="3F7261CC" w:rsidR="009D3C18" w:rsidRDefault="009D3C18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</w:p>
    <w:p w14:paraId="221EA235" w14:textId="77777777" w:rsidR="00C27D07" w:rsidRDefault="00C27D07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</w:p>
    <w:p w14:paraId="53F4134C" w14:textId="0EC7AE5A" w:rsidR="00C27D07" w:rsidRDefault="00C27D07">
      <w:pPr>
        <w:spacing w:after="20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>
        <w:rPr>
          <w:rStyle w:val="BookTitle"/>
          <w:rFonts w:cstheme="minorHAnsi"/>
          <w:b w:val="0"/>
          <w:i w:val="0"/>
          <w:lang w:val="hu-HU"/>
        </w:rPr>
        <w:br w:type="page"/>
      </w:r>
    </w:p>
    <w:p w14:paraId="5B4BCE63" w14:textId="77777777" w:rsidR="009272D3" w:rsidRPr="00443B6F" w:rsidRDefault="009272D3" w:rsidP="002C2E47">
      <w:pPr>
        <w:pStyle w:val="Heading3"/>
        <w:numPr>
          <w:ilvl w:val="2"/>
          <w:numId w:val="24"/>
        </w:numPr>
        <w:ind w:left="567" w:hanging="567"/>
        <w:rPr>
          <w:color w:val="244061" w:themeColor="accent1" w:themeShade="80"/>
          <w:sz w:val="26"/>
          <w:szCs w:val="24"/>
          <w:lang w:val="hu-HU"/>
        </w:rPr>
      </w:pPr>
      <w:bookmarkStart w:id="7" w:name="_Toc91191784"/>
      <w:r w:rsidRPr="00443B6F">
        <w:rPr>
          <w:color w:val="244061" w:themeColor="accent1" w:themeShade="80"/>
          <w:sz w:val="26"/>
          <w:szCs w:val="24"/>
          <w:lang w:val="hu-HU"/>
        </w:rPr>
        <w:lastRenderedPageBreak/>
        <w:t xml:space="preserve">Beágyazott </w:t>
      </w:r>
      <w:proofErr w:type="spellStart"/>
      <w:r w:rsidRPr="00443B6F">
        <w:rPr>
          <w:color w:val="244061" w:themeColor="accent1" w:themeShade="80"/>
          <w:sz w:val="26"/>
          <w:szCs w:val="24"/>
          <w:lang w:val="hu-HU"/>
        </w:rPr>
        <w:t>derivatívák</w:t>
      </w:r>
      <w:bookmarkEnd w:id="7"/>
      <w:proofErr w:type="spellEnd"/>
    </w:p>
    <w:p w14:paraId="06397FE3" w14:textId="77777777" w:rsidR="009272D3" w:rsidRPr="00443B6F" w:rsidRDefault="009272D3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66EBEBB9" w14:textId="117C9F84" w:rsidR="009272D3" w:rsidRPr="00443B6F" w:rsidRDefault="009272D3" w:rsidP="00E80D5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A </w:t>
      </w:r>
      <w:r w:rsidR="00043831" w:rsidRPr="00443B6F">
        <w:rPr>
          <w:rFonts w:eastAsiaTheme="minorHAnsi"/>
          <w:bCs/>
          <w:iCs/>
          <w:lang w:val="hu-HU"/>
        </w:rPr>
        <w:t xml:space="preserve">biztosítási alapszerződésben lévő </w:t>
      </w:r>
      <w:r w:rsidRPr="00443B6F">
        <w:rPr>
          <w:rFonts w:eastAsiaTheme="minorHAnsi"/>
          <w:bCs/>
          <w:iCs/>
          <w:lang w:val="hu-HU"/>
        </w:rPr>
        <w:t xml:space="preserve">beágyazott </w:t>
      </w:r>
      <w:proofErr w:type="spellStart"/>
      <w:r w:rsidRPr="00443B6F">
        <w:rPr>
          <w:rFonts w:eastAsiaTheme="minorHAnsi"/>
          <w:bCs/>
          <w:iCs/>
          <w:lang w:val="hu-HU"/>
        </w:rPr>
        <w:t>derivatívákat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</w:t>
      </w:r>
      <w:r w:rsidR="00735594" w:rsidRPr="00443B6F">
        <w:rPr>
          <w:rFonts w:eastAsiaTheme="minorHAnsi"/>
          <w:bCs/>
          <w:iCs/>
          <w:lang w:val="hu-HU"/>
        </w:rPr>
        <w:t xml:space="preserve">akkor és </w:t>
      </w:r>
      <w:r w:rsidRPr="00443B6F">
        <w:rPr>
          <w:rFonts w:eastAsiaTheme="minorHAnsi"/>
          <w:bCs/>
          <w:iCs/>
          <w:lang w:val="hu-HU"/>
        </w:rPr>
        <w:t xml:space="preserve">csak </w:t>
      </w:r>
      <w:r w:rsidR="00735594" w:rsidRPr="00443B6F">
        <w:rPr>
          <w:rFonts w:eastAsiaTheme="minorHAnsi"/>
          <w:bCs/>
          <w:iCs/>
          <w:lang w:val="hu-HU"/>
        </w:rPr>
        <w:t xml:space="preserve">akkor </w:t>
      </w:r>
      <w:r w:rsidRPr="00443B6F">
        <w:rPr>
          <w:rFonts w:eastAsiaTheme="minorHAnsi"/>
          <w:bCs/>
          <w:iCs/>
          <w:lang w:val="hu-HU"/>
        </w:rPr>
        <w:t>kell leválasztani és önállóan (</w:t>
      </w:r>
      <w:r w:rsidR="00CC6BDB" w:rsidRPr="00443B6F">
        <w:rPr>
          <w:rFonts w:eastAsiaTheme="minorHAnsi"/>
          <w:bCs/>
          <w:iCs/>
          <w:lang w:val="hu-HU"/>
        </w:rPr>
        <w:t xml:space="preserve">az </w:t>
      </w:r>
      <w:r w:rsidRPr="00443B6F">
        <w:rPr>
          <w:rFonts w:eastAsiaTheme="minorHAnsi"/>
          <w:bCs/>
          <w:iCs/>
          <w:lang w:val="hu-HU"/>
        </w:rPr>
        <w:t xml:space="preserve">IFRS9 </w:t>
      </w:r>
      <w:r w:rsidR="00CC6BDB" w:rsidRPr="00443B6F">
        <w:rPr>
          <w:rFonts w:eastAsiaTheme="minorHAnsi"/>
          <w:bCs/>
          <w:iCs/>
          <w:lang w:val="hu-HU"/>
        </w:rPr>
        <w:t>szabvány</w:t>
      </w:r>
      <w:r w:rsidR="0030691E" w:rsidRPr="00443B6F">
        <w:rPr>
          <w:rFonts w:eastAsiaTheme="minorHAnsi"/>
          <w:lang w:val="hu-HU"/>
        </w:rPr>
        <w:footnoteReference w:id="4"/>
      </w:r>
      <w:r w:rsidR="00CC6BDB" w:rsidRPr="00443B6F">
        <w:rPr>
          <w:rFonts w:eastAsiaTheme="minorHAnsi"/>
          <w:bCs/>
          <w:iCs/>
          <w:lang w:val="hu-HU"/>
        </w:rPr>
        <w:t xml:space="preserve"> </w:t>
      </w:r>
      <w:r w:rsidRPr="00443B6F">
        <w:rPr>
          <w:rFonts w:eastAsiaTheme="minorHAnsi"/>
          <w:bCs/>
          <w:iCs/>
          <w:lang w:val="hu-HU"/>
        </w:rPr>
        <w:t>szerint) értékelni</w:t>
      </w:r>
      <w:r w:rsidR="00735594" w:rsidRPr="00443B6F">
        <w:rPr>
          <w:rFonts w:eastAsiaTheme="minorHAnsi"/>
          <w:bCs/>
          <w:iCs/>
          <w:lang w:val="hu-HU"/>
        </w:rPr>
        <w:t>, ha a következő feltételek teljesülnek</w:t>
      </w:r>
      <w:r w:rsidRPr="00443B6F">
        <w:rPr>
          <w:rFonts w:eastAsiaTheme="minorHAnsi"/>
          <w:bCs/>
          <w:iCs/>
          <w:lang w:val="hu-HU"/>
        </w:rPr>
        <w:t>:</w:t>
      </w:r>
    </w:p>
    <w:p w14:paraId="03BF0442" w14:textId="3C01FEB5" w:rsidR="009272D3" w:rsidRPr="00443B6F" w:rsidRDefault="009272D3" w:rsidP="00E80D50">
      <w:pPr>
        <w:pStyle w:val="ListParagraph"/>
        <w:numPr>
          <w:ilvl w:val="0"/>
          <w:numId w:val="37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beágyazott </w:t>
      </w:r>
      <w:proofErr w:type="spellStart"/>
      <w:r w:rsidRPr="00443B6F">
        <w:rPr>
          <w:rFonts w:eastAsiaTheme="minorHAnsi"/>
          <w:lang w:val="hu-HU"/>
        </w:rPr>
        <w:t>derivatíva</w:t>
      </w:r>
      <w:proofErr w:type="spellEnd"/>
      <w:r w:rsidRPr="00443B6F">
        <w:rPr>
          <w:rFonts w:eastAsiaTheme="minorHAnsi"/>
          <w:lang w:val="hu-HU"/>
        </w:rPr>
        <w:t xml:space="preserve"> gazdasági jellemzői és kockázatai nem </w:t>
      </w:r>
      <w:proofErr w:type="spellStart"/>
      <w:r w:rsidRPr="00443B6F">
        <w:rPr>
          <w:rFonts w:eastAsiaTheme="minorHAnsi"/>
          <w:lang w:val="hu-HU"/>
        </w:rPr>
        <w:t>függnek</w:t>
      </w:r>
      <w:proofErr w:type="spellEnd"/>
      <w:r w:rsidRPr="00443B6F">
        <w:rPr>
          <w:rFonts w:eastAsiaTheme="minorHAnsi"/>
          <w:lang w:val="hu-HU"/>
        </w:rPr>
        <w:t xml:space="preserve"> szorosan össze az alapszerződés gazdasági jellemzőivel és kockázataival</w:t>
      </w:r>
      <w:r w:rsidR="00043831" w:rsidRPr="00443B6F">
        <w:rPr>
          <w:rFonts w:eastAsiaTheme="minorHAnsi"/>
          <w:lang w:val="hu-HU"/>
        </w:rPr>
        <w:t>;</w:t>
      </w:r>
      <w:r w:rsidRPr="00443B6F">
        <w:rPr>
          <w:rFonts w:eastAsiaTheme="minorHAnsi"/>
          <w:lang w:val="hu-HU"/>
        </w:rPr>
        <w:t xml:space="preserve"> és</w:t>
      </w:r>
    </w:p>
    <w:p w14:paraId="5213089B" w14:textId="739E0096" w:rsidR="009272D3" w:rsidRPr="00443B6F" w:rsidRDefault="009272D3" w:rsidP="00E80D50">
      <w:pPr>
        <w:pStyle w:val="ListParagraph"/>
        <w:numPr>
          <w:ilvl w:val="0"/>
          <w:numId w:val="37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Ha a beágyazott </w:t>
      </w:r>
      <w:proofErr w:type="spellStart"/>
      <w:r w:rsidRPr="00443B6F">
        <w:rPr>
          <w:rFonts w:eastAsiaTheme="minorHAnsi"/>
          <w:lang w:val="hu-HU"/>
        </w:rPr>
        <w:t>derivatíva</w:t>
      </w:r>
      <w:proofErr w:type="spellEnd"/>
      <w:r w:rsidRPr="00443B6F">
        <w:rPr>
          <w:rFonts w:eastAsiaTheme="minorHAnsi"/>
          <w:lang w:val="hu-HU"/>
        </w:rPr>
        <w:t xml:space="preserve"> önálló instrumentum volna, akkor </w:t>
      </w:r>
      <w:r w:rsidR="000F2182" w:rsidRPr="00443B6F">
        <w:rPr>
          <w:rFonts w:eastAsiaTheme="minorHAnsi"/>
          <w:lang w:val="hu-HU"/>
        </w:rPr>
        <w:t>teljesíten</w:t>
      </w:r>
      <w:r w:rsidR="00A802B6" w:rsidRPr="00443B6F">
        <w:rPr>
          <w:rFonts w:eastAsiaTheme="minorHAnsi"/>
          <w:lang w:val="hu-HU"/>
        </w:rPr>
        <w:t>é</w:t>
      </w:r>
      <w:r w:rsidR="000F2182" w:rsidRPr="00443B6F">
        <w:rPr>
          <w:rFonts w:eastAsiaTheme="minorHAnsi"/>
          <w:lang w:val="hu-HU"/>
        </w:rPr>
        <w:t xml:space="preserve"> a </w:t>
      </w:r>
      <w:proofErr w:type="spellStart"/>
      <w:r w:rsidR="000F2182" w:rsidRPr="00443B6F">
        <w:rPr>
          <w:rFonts w:eastAsiaTheme="minorHAnsi"/>
          <w:lang w:val="hu-HU"/>
        </w:rPr>
        <w:t>derivatíva</w:t>
      </w:r>
      <w:proofErr w:type="spellEnd"/>
      <w:r w:rsidR="000F2182" w:rsidRPr="00443B6F">
        <w:rPr>
          <w:rFonts w:eastAsiaTheme="minorHAnsi"/>
          <w:lang w:val="hu-HU"/>
        </w:rPr>
        <w:t xml:space="preserve"> fogalmát és </w:t>
      </w:r>
      <w:r w:rsidR="000B347E" w:rsidRPr="00443B6F">
        <w:rPr>
          <w:rFonts w:eastAsiaTheme="minorHAnsi"/>
          <w:lang w:val="hu-HU"/>
        </w:rPr>
        <w:t>az IFRS</w:t>
      </w:r>
      <w:r w:rsidRPr="00443B6F">
        <w:rPr>
          <w:rFonts w:eastAsiaTheme="minorHAnsi"/>
          <w:lang w:val="hu-HU"/>
        </w:rPr>
        <w:t>9 hatálya alá esne</w:t>
      </w:r>
      <w:r w:rsidR="00566A36" w:rsidRPr="00443B6F">
        <w:rPr>
          <w:rFonts w:eastAsiaTheme="minorHAnsi"/>
          <w:lang w:val="hu-HU"/>
        </w:rPr>
        <w:t>.</w:t>
      </w:r>
    </w:p>
    <w:p w14:paraId="4755771B" w14:textId="1615B474" w:rsidR="00B4503D" w:rsidRPr="00443B6F" w:rsidRDefault="00B4503D" w:rsidP="00440C9C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34C72D29" w14:textId="00B97263" w:rsidR="00F63C57" w:rsidRPr="00443B6F" w:rsidRDefault="00F63C57" w:rsidP="00E80D50">
      <w:pPr>
        <w:spacing w:after="120" w:line="276" w:lineRule="auto"/>
        <w:ind w:firstLine="0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beágyazott </w:t>
      </w:r>
      <w:proofErr w:type="spellStart"/>
      <w:r w:rsidRPr="00443B6F">
        <w:rPr>
          <w:rFonts w:eastAsiaTheme="minorHAnsi"/>
          <w:lang w:val="hu-HU"/>
        </w:rPr>
        <w:t>derivatív</w:t>
      </w:r>
      <w:r w:rsidR="00437FDF" w:rsidRPr="00443B6F">
        <w:rPr>
          <w:rFonts w:eastAsiaTheme="minorHAnsi"/>
          <w:lang w:val="hu-HU"/>
        </w:rPr>
        <w:t>a</w:t>
      </w:r>
      <w:proofErr w:type="spellEnd"/>
      <w:r w:rsidRPr="00443B6F">
        <w:rPr>
          <w:rFonts w:eastAsiaTheme="minorHAnsi"/>
          <w:lang w:val="hu-HU"/>
        </w:rPr>
        <w:t xml:space="preserve"> és a </w:t>
      </w:r>
      <w:proofErr w:type="spellStart"/>
      <w:r w:rsidRPr="00443B6F">
        <w:rPr>
          <w:rFonts w:eastAsiaTheme="minorHAnsi"/>
          <w:lang w:val="hu-HU"/>
        </w:rPr>
        <w:t>derivatíva</w:t>
      </w:r>
      <w:proofErr w:type="spellEnd"/>
      <w:r w:rsidRPr="00443B6F">
        <w:rPr>
          <w:rFonts w:eastAsiaTheme="minorHAnsi"/>
          <w:lang w:val="hu-HU"/>
        </w:rPr>
        <w:t xml:space="preserve"> fogalmá</w:t>
      </w:r>
      <w:r w:rsidR="00437FDF" w:rsidRPr="00443B6F">
        <w:rPr>
          <w:rFonts w:eastAsiaTheme="minorHAnsi"/>
          <w:lang w:val="hu-HU"/>
        </w:rPr>
        <w:t>t</w:t>
      </w:r>
      <w:r w:rsidRPr="00443B6F">
        <w:rPr>
          <w:rFonts w:eastAsiaTheme="minorHAnsi"/>
          <w:lang w:val="hu-HU"/>
        </w:rPr>
        <w:t xml:space="preserve"> az IFRS9</w:t>
      </w:r>
      <w:r w:rsidR="00E80D50" w:rsidRPr="00443B6F">
        <w:rPr>
          <w:rFonts w:eastAsiaTheme="minorHAnsi"/>
          <w:lang w:val="hu-HU"/>
        </w:rPr>
        <w:t xml:space="preserve"> </w:t>
      </w:r>
      <w:r w:rsidRPr="00443B6F">
        <w:rPr>
          <w:rFonts w:eastAsiaTheme="minorHAnsi"/>
          <w:lang w:val="hu-HU"/>
        </w:rPr>
        <w:t>a</w:t>
      </w:r>
      <w:r w:rsidR="0082353C" w:rsidRPr="00443B6F">
        <w:rPr>
          <w:rFonts w:eastAsiaTheme="minorHAnsi"/>
          <w:lang w:val="hu-HU"/>
        </w:rPr>
        <w:t xml:space="preserve"> következők</w:t>
      </w:r>
      <w:r w:rsidR="00437FDF" w:rsidRPr="00443B6F">
        <w:rPr>
          <w:rFonts w:eastAsiaTheme="minorHAnsi"/>
          <w:lang w:val="hu-HU"/>
        </w:rPr>
        <w:t>éppen határozza meg</w:t>
      </w:r>
      <w:r w:rsidR="00E80D50" w:rsidRPr="00443B6F">
        <w:rPr>
          <w:rFonts w:eastAsiaTheme="minorHAnsi"/>
          <w:lang w:val="hu-HU"/>
        </w:rPr>
        <w:t xml:space="preserve"> (</w:t>
      </w:r>
      <w:r w:rsidR="00E80D50" w:rsidRPr="00443B6F">
        <w:rPr>
          <w:rStyle w:val="Standard"/>
          <w:rFonts w:cstheme="minorHAnsi"/>
        </w:rPr>
        <w:t>B4.3.1</w:t>
      </w:r>
      <w:r w:rsidR="00E80D50" w:rsidRPr="00443B6F">
        <w:rPr>
          <w:rFonts w:eastAsiaTheme="minorHAnsi"/>
          <w:lang w:val="hu-HU"/>
        </w:rPr>
        <w:t>)</w:t>
      </w:r>
      <w:r w:rsidR="00437FDF" w:rsidRPr="00443B6F">
        <w:rPr>
          <w:rFonts w:eastAsiaTheme="minorHAnsi"/>
          <w:lang w:val="hu-HU"/>
        </w:rPr>
        <w:t>:</w:t>
      </w:r>
    </w:p>
    <w:p w14:paraId="5310D0F3" w14:textId="69BB77C1" w:rsidR="00CB0C41" w:rsidRPr="00443B6F" w:rsidRDefault="00CB0C41" w:rsidP="00E80D50">
      <w:pPr>
        <w:ind w:firstLine="0"/>
        <w:jc w:val="both"/>
        <w:rPr>
          <w:rStyle w:val="Standard"/>
          <w:rFonts w:eastAsiaTheme="minorHAnsi"/>
          <w:bCs/>
          <w:i/>
          <w:iCs/>
        </w:rPr>
      </w:pPr>
      <w:proofErr w:type="spellStart"/>
      <w:r w:rsidRPr="00443B6F">
        <w:rPr>
          <w:rStyle w:val="Standard"/>
          <w:rFonts w:eastAsiaTheme="minorHAnsi"/>
          <w:bCs/>
          <w:i/>
          <w:iCs/>
        </w:rPr>
        <w:t>Derivatíva</w:t>
      </w:r>
      <w:proofErr w:type="spellEnd"/>
      <w:r w:rsidR="0082353C" w:rsidRPr="00443B6F">
        <w:rPr>
          <w:rStyle w:val="Standard"/>
          <w:rFonts w:eastAsiaTheme="minorHAnsi"/>
          <w:bCs/>
          <w:i/>
          <w:iCs/>
        </w:rPr>
        <w:t xml:space="preserve"> </w:t>
      </w:r>
      <w:r w:rsidR="000E1171" w:rsidRPr="00443B6F">
        <w:rPr>
          <w:rStyle w:val="Standard"/>
          <w:rFonts w:eastAsiaTheme="minorHAnsi"/>
          <w:bCs/>
          <w:i/>
          <w:iCs/>
        </w:rPr>
        <w:t xml:space="preserve">(származékos termék) </w:t>
      </w:r>
      <w:r w:rsidR="0082353C" w:rsidRPr="00443B6F">
        <w:rPr>
          <w:rStyle w:val="Standard"/>
          <w:rFonts w:eastAsiaTheme="minorHAnsi"/>
          <w:bCs/>
          <w:i/>
          <w:iCs/>
        </w:rPr>
        <w:t>fogalma</w:t>
      </w:r>
      <w:r w:rsidR="00200C02" w:rsidRPr="00443B6F">
        <w:rPr>
          <w:rStyle w:val="Standard"/>
          <w:rFonts w:eastAsiaTheme="minorHAnsi"/>
        </w:rPr>
        <w:footnoteReference w:id="5"/>
      </w:r>
    </w:p>
    <w:p w14:paraId="4169ECA9" w14:textId="77777777" w:rsidR="00AA14D1" w:rsidRPr="00443B6F" w:rsidRDefault="00AA14D1" w:rsidP="000E1171">
      <w:pPr>
        <w:ind w:firstLine="567"/>
        <w:jc w:val="both"/>
        <w:rPr>
          <w:rStyle w:val="Standard"/>
          <w:rFonts w:eastAsiaTheme="minorHAnsi"/>
          <w:bCs/>
          <w:iCs/>
        </w:rPr>
      </w:pPr>
    </w:p>
    <w:p w14:paraId="1FB53ED9" w14:textId="73273004" w:rsidR="000E1171" w:rsidRPr="00443B6F" w:rsidRDefault="000E1171" w:rsidP="00E80D50">
      <w:pPr>
        <w:ind w:firstLine="0"/>
        <w:jc w:val="both"/>
        <w:rPr>
          <w:rStyle w:val="Standard"/>
          <w:rFonts w:eastAsiaTheme="minorHAnsi"/>
          <w:bCs/>
          <w:iCs/>
        </w:rPr>
      </w:pPr>
      <w:r w:rsidRPr="00443B6F">
        <w:rPr>
          <w:rStyle w:val="Standard"/>
          <w:rFonts w:eastAsiaTheme="minorHAnsi"/>
          <w:bCs/>
          <w:iCs/>
        </w:rPr>
        <w:t>Olyan pénzügyi instrumentum vagy más szerződés, amely az alábbi három jellemző mindegyikével rendelkezik:</w:t>
      </w:r>
    </w:p>
    <w:p w14:paraId="0738BC10" w14:textId="77777777" w:rsidR="000E1171" w:rsidRPr="00443B6F" w:rsidRDefault="000E1171" w:rsidP="002C2E47">
      <w:pPr>
        <w:pStyle w:val="ListParagraph"/>
        <w:numPr>
          <w:ilvl w:val="0"/>
          <w:numId w:val="15"/>
        </w:numPr>
        <w:ind w:left="993" w:hanging="426"/>
        <w:jc w:val="both"/>
        <w:rPr>
          <w:rStyle w:val="Standard"/>
          <w:rFonts w:eastAsiaTheme="minorHAnsi"/>
          <w:bCs/>
          <w:iCs/>
        </w:rPr>
      </w:pPr>
      <w:r w:rsidRPr="00443B6F">
        <w:rPr>
          <w:rStyle w:val="Standard"/>
          <w:rFonts w:eastAsiaTheme="minorHAnsi"/>
          <w:bCs/>
          <w:iCs/>
        </w:rPr>
        <w:t>annak értéke egy meghatározott kamatláb, pénzügyi instrumentum ára, tőzsdei áru ára, devizaárfolyam, árindex vagy kamatindex, hitelminősítés vagy hitelindex, vagy ezekhez hasonló (időnként „mögöttesnek” nevezett) vál</w:t>
      </w:r>
      <w:r w:rsidR="00566A36" w:rsidRPr="00443B6F">
        <w:rPr>
          <w:rStyle w:val="Standard"/>
          <w:rFonts w:eastAsiaTheme="minorHAnsi"/>
          <w:bCs/>
          <w:iCs/>
        </w:rPr>
        <w:t>tozók módosulása miatt változik. N</w:t>
      </w:r>
      <w:r w:rsidRPr="00443B6F">
        <w:rPr>
          <w:rStyle w:val="Standard"/>
          <w:rFonts w:eastAsiaTheme="minorHAnsi"/>
          <w:bCs/>
          <w:iCs/>
        </w:rPr>
        <w:t>em pénzügyi változó esetében</w:t>
      </w:r>
      <w:r w:rsidR="00566A36" w:rsidRPr="00443B6F">
        <w:rPr>
          <w:rStyle w:val="Standard"/>
          <w:rFonts w:eastAsiaTheme="minorHAnsi"/>
          <w:bCs/>
          <w:iCs/>
        </w:rPr>
        <w:t xml:space="preserve"> feltétel, </w:t>
      </w:r>
      <w:r w:rsidRPr="00443B6F">
        <w:rPr>
          <w:rStyle w:val="Standard"/>
          <w:rFonts w:eastAsiaTheme="minorHAnsi"/>
          <w:bCs/>
          <w:iCs/>
        </w:rPr>
        <w:t>hogy a</w:t>
      </w:r>
      <w:r w:rsidR="00566A36" w:rsidRPr="00443B6F">
        <w:rPr>
          <w:rStyle w:val="Standard"/>
          <w:rFonts w:eastAsiaTheme="minorHAnsi"/>
          <w:bCs/>
          <w:iCs/>
        </w:rPr>
        <w:t>z</w:t>
      </w:r>
      <w:r w:rsidRPr="00443B6F">
        <w:rPr>
          <w:rStyle w:val="Standard"/>
          <w:rFonts w:eastAsiaTheme="minorHAnsi"/>
          <w:bCs/>
          <w:iCs/>
        </w:rPr>
        <w:t xml:space="preserve"> egyik szerződő félre sem jellemző;</w:t>
      </w:r>
    </w:p>
    <w:p w14:paraId="26937241" w14:textId="77777777" w:rsidR="000E1171" w:rsidRPr="00443B6F" w:rsidRDefault="000E1171" w:rsidP="002C2E47">
      <w:pPr>
        <w:pStyle w:val="ListParagraph"/>
        <w:numPr>
          <w:ilvl w:val="0"/>
          <w:numId w:val="15"/>
        </w:numPr>
        <w:ind w:left="993" w:hanging="426"/>
        <w:jc w:val="both"/>
        <w:rPr>
          <w:rStyle w:val="Standard"/>
          <w:rFonts w:eastAsiaTheme="minorHAnsi"/>
        </w:rPr>
      </w:pPr>
      <w:r w:rsidRPr="00443B6F">
        <w:rPr>
          <w:rStyle w:val="Standard"/>
          <w:rFonts w:eastAsiaTheme="minorHAnsi"/>
        </w:rPr>
        <w:t>nem igényel kezdeti nettó befektetést vagy kismértékű kezdeti nettó befektetést igényel egyéb olyan típusú szerződésekhez képest, amelyek a piaci körülményekben történt változásokra várhatóan hasonlóan reagálnának; valamint</w:t>
      </w:r>
    </w:p>
    <w:p w14:paraId="0192E32F" w14:textId="5DC97EE3" w:rsidR="000E1171" w:rsidRPr="00443B6F" w:rsidRDefault="000E1171" w:rsidP="002C2E47">
      <w:pPr>
        <w:pStyle w:val="ListParagraph"/>
        <w:numPr>
          <w:ilvl w:val="0"/>
          <w:numId w:val="15"/>
        </w:numPr>
        <w:ind w:left="993" w:hanging="426"/>
        <w:jc w:val="both"/>
        <w:rPr>
          <w:rStyle w:val="Standard"/>
          <w:rFonts w:eastAsiaTheme="minorHAnsi"/>
        </w:rPr>
      </w:pPr>
      <w:r w:rsidRPr="00443B6F">
        <w:rPr>
          <w:rStyle w:val="Standard"/>
          <w:rFonts w:eastAsiaTheme="minorHAnsi"/>
        </w:rPr>
        <w:t xml:space="preserve">amelyet egy jövőbeni időpontban </w:t>
      </w:r>
      <w:r w:rsidR="00D2620F" w:rsidRPr="00443B6F">
        <w:rPr>
          <w:rStyle w:val="Standard"/>
          <w:rFonts w:eastAsiaTheme="minorHAnsi"/>
        </w:rPr>
        <w:t>teljesítenek</w:t>
      </w:r>
      <w:r w:rsidRPr="00443B6F">
        <w:rPr>
          <w:rStyle w:val="Standard"/>
          <w:rFonts w:eastAsiaTheme="minorHAnsi"/>
        </w:rPr>
        <w:t>.</w:t>
      </w:r>
    </w:p>
    <w:p w14:paraId="47E38F03" w14:textId="77777777" w:rsidR="00D2620F" w:rsidRPr="00443B6F" w:rsidRDefault="00D2620F" w:rsidP="00F63C57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6CC0391F" w14:textId="56E115D6" w:rsidR="004E371F" w:rsidRPr="00443B6F" w:rsidRDefault="004E371F" w:rsidP="00E80D50">
      <w:pPr>
        <w:ind w:firstLine="0"/>
        <w:jc w:val="both"/>
        <w:rPr>
          <w:rStyle w:val="Standard"/>
          <w:rFonts w:eastAsiaTheme="minorHAnsi"/>
          <w:i/>
        </w:rPr>
      </w:pPr>
      <w:r w:rsidRPr="00443B6F">
        <w:rPr>
          <w:rStyle w:val="Standard"/>
          <w:rFonts w:eastAsiaTheme="minorHAnsi"/>
          <w:i/>
        </w:rPr>
        <w:t xml:space="preserve">Beágyazott </w:t>
      </w:r>
      <w:proofErr w:type="spellStart"/>
      <w:r w:rsidRPr="00443B6F">
        <w:rPr>
          <w:rStyle w:val="Standard"/>
          <w:rFonts w:eastAsiaTheme="minorHAnsi"/>
          <w:i/>
        </w:rPr>
        <w:t>derivatívák</w:t>
      </w:r>
      <w:proofErr w:type="spellEnd"/>
      <w:r w:rsidRPr="00443B6F">
        <w:rPr>
          <w:rStyle w:val="Standard"/>
          <w:rFonts w:eastAsiaTheme="minorHAnsi"/>
          <w:i/>
        </w:rPr>
        <w:t xml:space="preserve"> (beágyazott származékos termékek)</w:t>
      </w:r>
      <w:r w:rsidR="00043831" w:rsidRPr="00443B6F">
        <w:rPr>
          <w:rStyle w:val="Standard"/>
          <w:rFonts w:eastAsiaTheme="minorHAnsi"/>
        </w:rPr>
        <w:footnoteReference w:id="6"/>
      </w:r>
    </w:p>
    <w:p w14:paraId="255C5C90" w14:textId="77777777" w:rsidR="00951382" w:rsidRPr="00443B6F" w:rsidRDefault="00951382" w:rsidP="00E80D50">
      <w:pPr>
        <w:ind w:firstLine="0"/>
        <w:jc w:val="both"/>
        <w:rPr>
          <w:rStyle w:val="Standard"/>
          <w:rFonts w:eastAsiaTheme="minorHAnsi"/>
        </w:rPr>
      </w:pPr>
    </w:p>
    <w:p w14:paraId="481A9B50" w14:textId="725660C1" w:rsidR="00D2620F" w:rsidRPr="00443B6F" w:rsidRDefault="00043831" w:rsidP="00E80D50">
      <w:pPr>
        <w:ind w:firstLine="0"/>
        <w:jc w:val="both"/>
        <w:rPr>
          <w:rStyle w:val="Standard"/>
          <w:rFonts w:eastAsiaTheme="minorHAnsi"/>
        </w:rPr>
      </w:pPr>
      <w:r w:rsidRPr="00443B6F">
        <w:rPr>
          <w:rStyle w:val="Standard"/>
          <w:rFonts w:eastAsiaTheme="minorHAnsi"/>
          <w:bCs/>
          <w:iCs/>
        </w:rPr>
        <w:t>’</w:t>
      </w:r>
      <w:r w:rsidR="00D2620F" w:rsidRPr="00443B6F">
        <w:rPr>
          <w:rStyle w:val="Standard"/>
          <w:rFonts w:eastAsiaTheme="minorHAnsi"/>
          <w:bCs/>
          <w:iCs/>
        </w:rPr>
        <w:t>A beágyazott származékos termék egy olyan hibrid szerződés komponense, amely ezen kívül egy nem származékos alapszerződést is magában foglal – aminek hatására a kombinált instrumentum néhány cash flow-ja egy önálló származékos termékhez hasonló módon változik. A beágyazott származékos termék egy meghatározott kamatláb, pénzügyi instrumentum ára, tőzsdei áru ára, devizaárfolyam, árindex vagy kamatindex, hitelminősítés vagy hitelindex, vagy más változó alapján módosítja az egyébként a szerződés által megkövetelt cash flow-</w:t>
      </w:r>
      <w:proofErr w:type="spellStart"/>
      <w:r w:rsidR="00D2620F" w:rsidRPr="00443B6F">
        <w:rPr>
          <w:rStyle w:val="Standard"/>
          <w:rFonts w:eastAsiaTheme="minorHAnsi"/>
          <w:bCs/>
          <w:iCs/>
        </w:rPr>
        <w:t>knak</w:t>
      </w:r>
      <w:proofErr w:type="spellEnd"/>
      <w:r w:rsidR="00D2620F" w:rsidRPr="00443B6F">
        <w:rPr>
          <w:rStyle w:val="Standard"/>
          <w:rFonts w:eastAsiaTheme="minorHAnsi"/>
          <w:bCs/>
          <w:iCs/>
        </w:rPr>
        <w:t xml:space="preserve"> egy részét vagy egészét, egy nem pénzügyi változó esetében feltéve, hogy a változó egyik szerződő félre sem jellemző. Az olyan származékos termék, amely </w:t>
      </w:r>
      <w:r w:rsidR="00D2620F" w:rsidRPr="00443B6F">
        <w:rPr>
          <w:rStyle w:val="Standard"/>
          <w:rFonts w:eastAsiaTheme="minorHAnsi"/>
          <w:bCs/>
          <w:i/>
        </w:rPr>
        <w:t>pénzügyi instrumentumhoz</w:t>
      </w:r>
      <w:r w:rsidR="00D2620F" w:rsidRPr="00443B6F">
        <w:rPr>
          <w:rStyle w:val="Standard"/>
          <w:rFonts w:eastAsiaTheme="minorHAnsi"/>
          <w:bCs/>
          <w:iCs/>
        </w:rPr>
        <w:t xml:space="preserve"> kapcsolódik, de szerződés alapján az instrumentumtól függetlenül is átruházható, vagy eltérő féllel rendelkezik, nem beágyazott származékos termék, hanem elkülönült pénzügyi instrumentum.</w:t>
      </w:r>
      <w:r w:rsidRPr="00443B6F">
        <w:rPr>
          <w:rStyle w:val="Standard"/>
          <w:rFonts w:eastAsiaTheme="minorHAnsi"/>
          <w:bCs/>
          <w:iCs/>
        </w:rPr>
        <w:t>’</w:t>
      </w:r>
    </w:p>
    <w:p w14:paraId="3863E963" w14:textId="77777777" w:rsidR="00E41E68" w:rsidRPr="00443B6F" w:rsidRDefault="00E41E68" w:rsidP="002D5A3D">
      <w:pPr>
        <w:ind w:firstLine="0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5CAA4AE0" w14:textId="77777777" w:rsidR="00C27D07" w:rsidRDefault="00C27D07">
      <w:pPr>
        <w:spacing w:after="200" w:line="276" w:lineRule="auto"/>
        <w:ind w:firstLine="0"/>
        <w:rPr>
          <w:rFonts w:eastAsiaTheme="minorHAnsi"/>
          <w:bCs/>
          <w:iCs/>
          <w:lang w:val="hu-HU"/>
        </w:rPr>
      </w:pPr>
      <w:r>
        <w:rPr>
          <w:rFonts w:eastAsiaTheme="minorHAnsi"/>
          <w:bCs/>
          <w:iCs/>
          <w:lang w:val="hu-HU"/>
        </w:rPr>
        <w:br w:type="page"/>
      </w:r>
    </w:p>
    <w:p w14:paraId="4FC8256A" w14:textId="70392E18" w:rsidR="003900EE" w:rsidRPr="00443B6F" w:rsidRDefault="002332F3" w:rsidP="00E80D5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lastRenderedPageBreak/>
        <w:t xml:space="preserve">A biztosítási szerződésről leválasztandó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beágyazott </w:t>
      </w:r>
      <w:proofErr w:type="spellStart"/>
      <w:r w:rsidRPr="00443B6F">
        <w:rPr>
          <w:rFonts w:eastAsiaTheme="minorHAnsi" w:cstheme="minorHAnsi"/>
          <w:color w:val="548DD4" w:themeColor="text2" w:themeTint="99"/>
          <w:lang w:val="hu-HU"/>
        </w:rPr>
        <w:t>derivatívák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azok, amelyek gazdasági jellemzői és kockázatai nem kapcsolódnak szorosan a biztosítási alapszerződéhez. Az IFRS9-es szabvány melléklete</w:t>
      </w:r>
      <w:r w:rsidRPr="00443B6F">
        <w:rPr>
          <w:rFonts w:eastAsiaTheme="minorHAnsi"/>
          <w:lang w:val="hu-HU"/>
        </w:rPr>
        <w:footnoteReference w:id="7"/>
      </w:r>
      <w:r w:rsidRPr="00443B6F">
        <w:rPr>
          <w:rFonts w:eastAsiaTheme="minorHAnsi"/>
          <w:bCs/>
          <w:iCs/>
          <w:lang w:val="hu-HU"/>
        </w:rPr>
        <w:t xml:space="preserve"> nevesít néhány olyan jellemző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beágyazott </w:t>
      </w:r>
      <w:proofErr w:type="spellStart"/>
      <w:r w:rsidRPr="00443B6F">
        <w:rPr>
          <w:rFonts w:eastAsiaTheme="minorHAnsi" w:cstheme="minorHAnsi"/>
          <w:color w:val="548DD4" w:themeColor="text2" w:themeTint="99"/>
          <w:lang w:val="hu-HU"/>
        </w:rPr>
        <w:t>derivatívát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, melynek leválasztása nem szükséges a biztosítási szerződésekből. </w:t>
      </w:r>
      <w:r w:rsidR="00EA6926" w:rsidRPr="00443B6F">
        <w:rPr>
          <w:rFonts w:eastAsiaTheme="minorHAnsi"/>
          <w:bCs/>
          <w:iCs/>
          <w:lang w:val="hu-HU"/>
        </w:rPr>
        <w:t xml:space="preserve">A szabályozás ugyan változott az IFRS4-hez képest, azonban a nevesített, nem leválasztandó </w:t>
      </w:r>
      <w:r w:rsidR="00EA6926" w:rsidRPr="00443B6F">
        <w:rPr>
          <w:rFonts w:eastAsiaTheme="minorHAnsi" w:cstheme="minorHAnsi"/>
          <w:color w:val="548DD4" w:themeColor="text2" w:themeTint="99"/>
          <w:lang w:val="hu-HU"/>
        </w:rPr>
        <w:t xml:space="preserve">beágyazott </w:t>
      </w:r>
      <w:proofErr w:type="spellStart"/>
      <w:r w:rsidR="00EA6926" w:rsidRPr="00443B6F">
        <w:rPr>
          <w:rFonts w:eastAsiaTheme="minorHAnsi" w:cstheme="minorHAnsi"/>
          <w:color w:val="548DD4" w:themeColor="text2" w:themeTint="99"/>
          <w:lang w:val="hu-HU"/>
        </w:rPr>
        <w:t>derivatívák</w:t>
      </w:r>
      <w:proofErr w:type="spellEnd"/>
      <w:r w:rsidR="00EA6926" w:rsidRPr="00443B6F">
        <w:rPr>
          <w:rFonts w:eastAsiaTheme="minorHAnsi"/>
          <w:bCs/>
          <w:iCs/>
          <w:lang w:val="hu-HU"/>
        </w:rPr>
        <w:t xml:space="preserve"> között továbbra is megmaradt </w:t>
      </w:r>
      <w:proofErr w:type="gramStart"/>
      <w:r w:rsidR="00EA6926" w:rsidRPr="00443B6F">
        <w:rPr>
          <w:rFonts w:eastAsiaTheme="minorHAnsi"/>
          <w:bCs/>
          <w:iCs/>
          <w:lang w:val="hu-HU"/>
        </w:rPr>
        <w:t>a</w:t>
      </w:r>
      <w:proofErr w:type="gramEnd"/>
      <w:r w:rsidR="00EA6926" w:rsidRPr="00443B6F">
        <w:rPr>
          <w:rFonts w:eastAsiaTheme="minorHAnsi"/>
          <w:bCs/>
          <w:iCs/>
          <w:lang w:val="hu-HU"/>
        </w:rPr>
        <w:t xml:space="preserve"> unit-linked b</w:t>
      </w:r>
      <w:r w:rsidRPr="00443B6F">
        <w:rPr>
          <w:rFonts w:eastAsiaTheme="minorHAnsi"/>
          <w:bCs/>
          <w:iCs/>
          <w:lang w:val="hu-HU"/>
        </w:rPr>
        <w:t>iztosítás</w:t>
      </w:r>
      <w:r w:rsidR="00EA6926" w:rsidRPr="00443B6F">
        <w:rPr>
          <w:rFonts w:eastAsiaTheme="minorHAnsi"/>
          <w:bCs/>
          <w:iCs/>
          <w:lang w:val="hu-HU"/>
        </w:rPr>
        <w:t>ok</w:t>
      </w:r>
      <w:r w:rsidRPr="00443B6F">
        <w:rPr>
          <w:rFonts w:eastAsiaTheme="minorHAnsi"/>
          <w:bCs/>
          <w:iCs/>
          <w:lang w:val="hu-HU"/>
        </w:rPr>
        <w:t xml:space="preserve"> </w:t>
      </w:r>
      <w:r w:rsidR="00EA6926" w:rsidRPr="00443B6F">
        <w:rPr>
          <w:rFonts w:eastAsiaTheme="minorHAnsi"/>
          <w:bCs/>
          <w:iCs/>
          <w:lang w:val="hu-HU"/>
        </w:rPr>
        <w:t xml:space="preserve">esetében a biztosítási kifizetések </w:t>
      </w:r>
      <w:r w:rsidRPr="00443B6F">
        <w:rPr>
          <w:rFonts w:eastAsiaTheme="minorHAnsi"/>
          <w:bCs/>
          <w:iCs/>
          <w:lang w:val="hu-HU"/>
        </w:rPr>
        <w:t>unit</w:t>
      </w:r>
      <w:r w:rsidR="003900EE" w:rsidRPr="00443B6F">
        <w:rPr>
          <w:rFonts w:eastAsiaTheme="minorHAnsi"/>
          <w:bCs/>
          <w:iCs/>
          <w:lang w:val="hu-HU"/>
        </w:rPr>
        <w:t xml:space="preserve">árfolyamhoz </w:t>
      </w:r>
      <w:r w:rsidR="00EA6926" w:rsidRPr="00443B6F">
        <w:rPr>
          <w:rFonts w:eastAsiaTheme="minorHAnsi"/>
          <w:bCs/>
          <w:iCs/>
          <w:lang w:val="hu-HU"/>
        </w:rPr>
        <w:t>való kötöttsége</w:t>
      </w:r>
      <w:r w:rsidR="00794A53" w:rsidRPr="00443B6F">
        <w:rPr>
          <w:rFonts w:eastAsiaTheme="minorHAnsi"/>
          <w:bCs/>
          <w:iCs/>
          <w:lang w:val="hu-HU"/>
        </w:rPr>
        <w:t xml:space="preserve">. </w:t>
      </w:r>
      <w:r w:rsidR="00C32BFA" w:rsidRPr="00443B6F">
        <w:rPr>
          <w:rFonts w:eastAsiaTheme="minorHAnsi"/>
          <w:bCs/>
          <w:iCs/>
          <w:lang w:val="hu-HU"/>
        </w:rPr>
        <w:t xml:space="preserve">A korábbi szabályozással összhangban, továbbra sem szükséges a </w:t>
      </w:r>
      <w:r w:rsidR="00C32BFA" w:rsidRPr="00443B6F">
        <w:rPr>
          <w:rFonts w:eastAsiaTheme="minorHAnsi" w:cstheme="minorHAnsi"/>
          <w:color w:val="548DD4" w:themeColor="text2" w:themeTint="99"/>
          <w:lang w:val="hu-HU"/>
        </w:rPr>
        <w:t xml:space="preserve">beágyazott </w:t>
      </w:r>
      <w:proofErr w:type="spellStart"/>
      <w:r w:rsidR="00C32BFA" w:rsidRPr="00443B6F">
        <w:rPr>
          <w:rFonts w:eastAsiaTheme="minorHAnsi" w:cstheme="minorHAnsi"/>
          <w:color w:val="548DD4" w:themeColor="text2" w:themeTint="99"/>
          <w:lang w:val="hu-HU"/>
        </w:rPr>
        <w:t>derivatíva</w:t>
      </w:r>
      <w:proofErr w:type="spellEnd"/>
      <w:r w:rsidR="00C32BFA" w:rsidRPr="00443B6F">
        <w:rPr>
          <w:rFonts w:eastAsiaTheme="minorHAnsi"/>
          <w:bCs/>
          <w:iCs/>
          <w:lang w:val="hu-HU"/>
        </w:rPr>
        <w:t xml:space="preserve"> leválasztása amennyiben a </w:t>
      </w:r>
      <w:proofErr w:type="spellStart"/>
      <w:r w:rsidR="00C32BFA" w:rsidRPr="00443B6F">
        <w:rPr>
          <w:rFonts w:eastAsiaTheme="minorHAnsi"/>
          <w:bCs/>
          <w:iCs/>
          <w:lang w:val="hu-HU"/>
        </w:rPr>
        <w:t>derivatíva</w:t>
      </w:r>
      <w:proofErr w:type="spellEnd"/>
      <w:r w:rsidR="00C32BFA" w:rsidRPr="00443B6F">
        <w:rPr>
          <w:rFonts w:eastAsiaTheme="minorHAnsi"/>
          <w:bCs/>
          <w:iCs/>
          <w:lang w:val="hu-HU"/>
        </w:rPr>
        <w:t xml:space="preserve"> maga is biztosítási szerződés</w:t>
      </w:r>
      <w:r w:rsidR="00C32BFA" w:rsidRPr="00443B6F">
        <w:rPr>
          <w:rFonts w:eastAsiaTheme="minorHAnsi"/>
          <w:lang w:val="hu-HU"/>
        </w:rPr>
        <w:footnoteReference w:id="8"/>
      </w:r>
      <w:r w:rsidR="00C32BFA" w:rsidRPr="00443B6F">
        <w:rPr>
          <w:rFonts w:eastAsiaTheme="minorHAnsi"/>
          <w:bCs/>
          <w:iCs/>
          <w:lang w:val="hu-HU"/>
        </w:rPr>
        <w:t xml:space="preserve">. Az </w:t>
      </w:r>
      <w:r w:rsidR="00794A53" w:rsidRPr="00443B6F">
        <w:rPr>
          <w:rFonts w:eastAsiaTheme="minorHAnsi"/>
          <w:bCs/>
          <w:iCs/>
          <w:lang w:val="hu-HU"/>
        </w:rPr>
        <w:t>IFRS4</w:t>
      </w:r>
      <w:r w:rsidR="00EA6926" w:rsidRPr="00443B6F">
        <w:rPr>
          <w:rFonts w:eastAsiaTheme="minorHAnsi"/>
          <w:bCs/>
          <w:iCs/>
          <w:lang w:val="hu-HU"/>
        </w:rPr>
        <w:t xml:space="preserve"> ugyanakkor</w:t>
      </w:r>
      <w:r w:rsidR="00794A53" w:rsidRPr="00443B6F">
        <w:rPr>
          <w:rFonts w:eastAsiaTheme="minorHAnsi"/>
          <w:bCs/>
          <w:iCs/>
          <w:lang w:val="hu-HU"/>
        </w:rPr>
        <w:t xml:space="preserve"> az előre meghatározott </w:t>
      </w:r>
      <w:r w:rsidR="00C32BFA" w:rsidRPr="00443B6F">
        <w:rPr>
          <w:rFonts w:eastAsiaTheme="minorHAnsi"/>
          <w:bCs/>
          <w:iCs/>
          <w:lang w:val="hu-HU"/>
        </w:rPr>
        <w:t xml:space="preserve">összegű, vagy kamattal növelt </w:t>
      </w:r>
      <w:r w:rsidR="00794A53" w:rsidRPr="00443B6F">
        <w:rPr>
          <w:rFonts w:eastAsiaTheme="minorHAnsi"/>
          <w:bCs/>
          <w:iCs/>
          <w:lang w:val="hu-HU"/>
        </w:rPr>
        <w:t>visszavásárlási opció</w:t>
      </w:r>
      <w:r w:rsidR="00C32BFA" w:rsidRPr="00443B6F">
        <w:rPr>
          <w:rFonts w:eastAsiaTheme="minorHAnsi"/>
          <w:bCs/>
          <w:iCs/>
          <w:lang w:val="hu-HU"/>
        </w:rPr>
        <w:t xml:space="preserve"> esetén nem követelte meg a </w:t>
      </w:r>
      <w:r w:rsidR="00C32BFA" w:rsidRPr="00443B6F">
        <w:rPr>
          <w:rFonts w:eastAsiaTheme="minorHAnsi" w:cstheme="minorHAnsi"/>
          <w:color w:val="548DD4" w:themeColor="text2" w:themeTint="99"/>
          <w:lang w:val="hu-HU"/>
        </w:rPr>
        <w:t xml:space="preserve">beágyazott </w:t>
      </w:r>
      <w:proofErr w:type="spellStart"/>
      <w:r w:rsidR="00C32BFA" w:rsidRPr="00443B6F">
        <w:rPr>
          <w:rFonts w:eastAsiaTheme="minorHAnsi" w:cstheme="minorHAnsi"/>
          <w:color w:val="548DD4" w:themeColor="text2" w:themeTint="99"/>
          <w:lang w:val="hu-HU"/>
        </w:rPr>
        <w:t>derivatíva</w:t>
      </w:r>
      <w:proofErr w:type="spellEnd"/>
      <w:r w:rsidR="00C32BFA" w:rsidRPr="00443B6F">
        <w:rPr>
          <w:rFonts w:eastAsiaTheme="minorHAnsi" w:cstheme="minorHAnsi"/>
          <w:color w:val="548DD4" w:themeColor="text2" w:themeTint="99"/>
          <w:lang w:val="hu-HU"/>
        </w:rPr>
        <w:t xml:space="preserve"> elkülönítését</w:t>
      </w:r>
      <w:r w:rsidR="00C32BFA" w:rsidRPr="00443B6F">
        <w:rPr>
          <w:rFonts w:eastAsiaTheme="minorHAnsi"/>
          <w:bCs/>
          <w:iCs/>
          <w:lang w:val="hu-HU"/>
        </w:rPr>
        <w:t xml:space="preserve">. </w:t>
      </w:r>
      <w:r w:rsidR="00794A53" w:rsidRPr="00443B6F">
        <w:rPr>
          <w:rFonts w:eastAsiaTheme="minorHAnsi"/>
          <w:bCs/>
          <w:iCs/>
          <w:lang w:val="hu-HU"/>
        </w:rPr>
        <w:t>Ezen kivétel</w:t>
      </w:r>
      <w:r w:rsidR="00C32BFA" w:rsidRPr="00443B6F">
        <w:rPr>
          <w:rFonts w:eastAsiaTheme="minorHAnsi"/>
          <w:bCs/>
          <w:iCs/>
          <w:lang w:val="hu-HU"/>
        </w:rPr>
        <w:t xml:space="preserve"> az</w:t>
      </w:r>
      <w:r w:rsidR="00794A53" w:rsidRPr="00443B6F">
        <w:rPr>
          <w:rFonts w:eastAsiaTheme="minorHAnsi"/>
          <w:bCs/>
          <w:iCs/>
          <w:lang w:val="hu-HU"/>
        </w:rPr>
        <w:t xml:space="preserve"> IFRS17-ben már nem </w:t>
      </w:r>
      <w:r w:rsidR="00C32BFA" w:rsidRPr="00443B6F">
        <w:rPr>
          <w:rFonts w:eastAsiaTheme="minorHAnsi"/>
          <w:bCs/>
          <w:iCs/>
          <w:lang w:val="hu-HU"/>
        </w:rPr>
        <w:t>szerepel</w:t>
      </w:r>
      <w:r w:rsidR="00794A53" w:rsidRPr="00443B6F">
        <w:rPr>
          <w:rFonts w:eastAsiaTheme="minorHAnsi"/>
          <w:bCs/>
          <w:iCs/>
          <w:lang w:val="hu-HU"/>
        </w:rPr>
        <w:t xml:space="preserve">. </w:t>
      </w:r>
    </w:p>
    <w:p w14:paraId="42820A17" w14:textId="77777777" w:rsidR="00E63F19" w:rsidRPr="00443B6F" w:rsidRDefault="00E63F19" w:rsidP="00E80D5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3771E551" w14:textId="5EE37866" w:rsidR="00E63F19" w:rsidRPr="00443B6F" w:rsidRDefault="00E63F19" w:rsidP="00E80D5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Mindezek mellett, a korábbi szabályozáshoz hasonlóan, továbbra sem szükséges (és nem is lehetséges) azon beágyazott </w:t>
      </w:r>
      <w:proofErr w:type="spellStart"/>
      <w:r w:rsidRPr="00443B6F">
        <w:rPr>
          <w:rFonts w:eastAsiaTheme="minorHAnsi"/>
          <w:bCs/>
          <w:iCs/>
          <w:lang w:val="hu-HU"/>
        </w:rPr>
        <w:t>derivatívák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</w:t>
      </w:r>
      <w:r w:rsidR="0099541B" w:rsidRPr="00443B6F">
        <w:rPr>
          <w:rFonts w:eastAsiaTheme="minorHAnsi"/>
          <w:bCs/>
          <w:iCs/>
          <w:lang w:val="hu-HU"/>
        </w:rPr>
        <w:t>le</w:t>
      </w:r>
      <w:r w:rsidRPr="00443B6F">
        <w:rPr>
          <w:rFonts w:eastAsiaTheme="minorHAnsi"/>
          <w:bCs/>
          <w:iCs/>
          <w:lang w:val="hu-HU"/>
        </w:rPr>
        <w:t xml:space="preserve">választása, melyek olyan szorosan kapcsolódnak a biztosítási alapszerződéshez, hogy </w:t>
      </w:r>
      <w:r w:rsidR="00576F2E" w:rsidRPr="00443B6F">
        <w:rPr>
          <w:rFonts w:eastAsiaTheme="minorHAnsi"/>
          <w:bCs/>
          <w:iCs/>
          <w:lang w:val="hu-HU"/>
        </w:rPr>
        <w:t xml:space="preserve">a </w:t>
      </w:r>
      <w:proofErr w:type="spellStart"/>
      <w:r w:rsidR="00576F2E" w:rsidRPr="00443B6F">
        <w:rPr>
          <w:rFonts w:eastAsiaTheme="minorHAnsi"/>
          <w:bCs/>
          <w:iCs/>
          <w:lang w:val="hu-HU"/>
        </w:rPr>
        <w:t>derivatíva</w:t>
      </w:r>
      <w:proofErr w:type="spellEnd"/>
      <w:r w:rsidR="00576F2E" w:rsidRPr="00443B6F">
        <w:rPr>
          <w:rFonts w:eastAsiaTheme="minorHAnsi"/>
          <w:bCs/>
          <w:iCs/>
          <w:lang w:val="hu-HU"/>
        </w:rPr>
        <w:t xml:space="preserve"> értéke nem határozható meg a biztosítási szerződéstől függetlenül. </w:t>
      </w:r>
    </w:p>
    <w:p w14:paraId="3427102B" w14:textId="75FD812A" w:rsidR="00855E98" w:rsidRDefault="00855E98">
      <w:pPr>
        <w:spacing w:after="20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</w:p>
    <w:p w14:paraId="19511A00" w14:textId="77777777" w:rsidR="002D5A3D" w:rsidRPr="00443B6F" w:rsidRDefault="002D5A3D">
      <w:pPr>
        <w:spacing w:after="20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</w:p>
    <w:p w14:paraId="06EC78FC" w14:textId="77777777" w:rsidR="009272D3" w:rsidRPr="00443B6F" w:rsidRDefault="009272D3" w:rsidP="002C2E47">
      <w:pPr>
        <w:pStyle w:val="Heading3"/>
        <w:numPr>
          <w:ilvl w:val="2"/>
          <w:numId w:val="24"/>
        </w:numPr>
        <w:ind w:left="567" w:hanging="567"/>
        <w:rPr>
          <w:color w:val="244061" w:themeColor="accent1" w:themeShade="80"/>
          <w:sz w:val="26"/>
          <w:szCs w:val="24"/>
          <w:lang w:val="hu-HU"/>
        </w:rPr>
      </w:pPr>
      <w:bookmarkStart w:id="8" w:name="_Toc91191785"/>
      <w:r w:rsidRPr="00443B6F">
        <w:rPr>
          <w:color w:val="244061" w:themeColor="accent1" w:themeShade="80"/>
          <w:sz w:val="26"/>
          <w:szCs w:val="24"/>
          <w:lang w:val="hu-HU"/>
        </w:rPr>
        <w:t>Befektetési komponens</w:t>
      </w:r>
      <w:bookmarkEnd w:id="8"/>
    </w:p>
    <w:p w14:paraId="38EA0881" w14:textId="77777777" w:rsidR="009272D3" w:rsidRPr="00443B6F" w:rsidRDefault="009272D3" w:rsidP="002D5A3D">
      <w:pPr>
        <w:ind w:firstLine="0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12137081" w14:textId="42509E8E" w:rsidR="00DF28C6" w:rsidRPr="00443B6F" w:rsidRDefault="00DF28C6" w:rsidP="00E80D50">
      <w:pPr>
        <w:spacing w:after="120" w:line="276" w:lineRule="auto"/>
        <w:ind w:firstLine="0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befektetési </w:t>
      </w:r>
      <w:r w:rsidR="0099541B" w:rsidRPr="00443B6F">
        <w:rPr>
          <w:rFonts w:eastAsiaTheme="minorHAnsi" w:cstheme="minorHAnsi"/>
          <w:color w:val="548DD4" w:themeColor="text2" w:themeTint="99"/>
          <w:lang w:val="hu-HU"/>
        </w:rPr>
        <w:t>komponens</w:t>
      </w:r>
      <w:r w:rsidR="0099541B" w:rsidRPr="00443B6F">
        <w:rPr>
          <w:rFonts w:eastAsiaTheme="minorHAnsi"/>
          <w:lang w:val="hu-HU"/>
        </w:rPr>
        <w:t xml:space="preserve"> </w:t>
      </w:r>
      <w:r w:rsidRPr="00443B6F">
        <w:rPr>
          <w:rFonts w:eastAsiaTheme="minorHAnsi"/>
          <w:lang w:val="hu-HU"/>
        </w:rPr>
        <w:t>(</w:t>
      </w:r>
      <w:proofErr w:type="spellStart"/>
      <w:r w:rsidRPr="00443B6F">
        <w:rPr>
          <w:rFonts w:eastAsiaTheme="minorHAnsi"/>
          <w:lang w:val="hu-HU"/>
        </w:rPr>
        <w:t>investment</w:t>
      </w:r>
      <w:proofErr w:type="spellEnd"/>
      <w:r w:rsidRPr="00443B6F">
        <w:rPr>
          <w:rFonts w:eastAsiaTheme="minorHAnsi"/>
          <w:lang w:val="hu-HU"/>
        </w:rPr>
        <w:t xml:space="preserve"> </w:t>
      </w:r>
      <w:proofErr w:type="spellStart"/>
      <w:r w:rsidRPr="00443B6F">
        <w:rPr>
          <w:rFonts w:eastAsiaTheme="minorHAnsi"/>
          <w:lang w:val="hu-HU"/>
        </w:rPr>
        <w:t>component</w:t>
      </w:r>
      <w:proofErr w:type="spellEnd"/>
      <w:r w:rsidRPr="00443B6F">
        <w:rPr>
          <w:rFonts w:eastAsiaTheme="minorHAnsi"/>
          <w:lang w:val="hu-HU"/>
        </w:rPr>
        <w:t>) leválasztandó</w:t>
      </w:r>
      <w:r w:rsidR="00620638" w:rsidRPr="00443B6F">
        <w:rPr>
          <w:rFonts w:eastAsiaTheme="minorHAnsi"/>
          <w:lang w:val="hu-HU"/>
        </w:rPr>
        <w:t xml:space="preserve"> a </w:t>
      </w:r>
      <w:r w:rsidR="00620638" w:rsidRPr="00443B6F">
        <w:rPr>
          <w:rFonts w:eastAsiaTheme="minorHAnsi" w:cstheme="minorHAnsi"/>
          <w:color w:val="548DD4" w:themeColor="text2" w:themeTint="99"/>
          <w:lang w:val="hu-HU"/>
        </w:rPr>
        <w:t>biztosítási szerződésről</w:t>
      </w:r>
      <w:r w:rsidR="00620638" w:rsidRPr="00443B6F">
        <w:rPr>
          <w:rFonts w:eastAsiaTheme="minorHAnsi"/>
          <w:lang w:val="hu-HU"/>
        </w:rPr>
        <w:t xml:space="preserve">, </w:t>
      </w:r>
      <w:r w:rsidRPr="00443B6F">
        <w:rPr>
          <w:rFonts w:eastAsiaTheme="minorHAnsi"/>
          <w:lang w:val="hu-HU"/>
        </w:rPr>
        <w:t xml:space="preserve">ha a két </w:t>
      </w:r>
      <w:r w:rsidR="0099541B" w:rsidRPr="00443B6F">
        <w:rPr>
          <w:rFonts w:eastAsiaTheme="minorHAnsi"/>
          <w:lang w:val="hu-HU"/>
        </w:rPr>
        <w:t xml:space="preserve">komponens </w:t>
      </w:r>
      <w:r w:rsidRPr="00443B6F">
        <w:rPr>
          <w:rFonts w:eastAsiaTheme="minorHAnsi"/>
          <w:lang w:val="hu-HU"/>
        </w:rPr>
        <w:t>jól elkülönül (</w:t>
      </w:r>
      <w:proofErr w:type="spellStart"/>
      <w:r w:rsidRPr="00443B6F">
        <w:rPr>
          <w:rFonts w:eastAsiaTheme="minorHAnsi"/>
          <w:lang w:val="hu-HU"/>
        </w:rPr>
        <w:t>distinct</w:t>
      </w:r>
      <w:proofErr w:type="spellEnd"/>
      <w:r w:rsidRPr="00443B6F">
        <w:rPr>
          <w:rFonts w:eastAsiaTheme="minorHAnsi"/>
          <w:lang w:val="hu-HU"/>
        </w:rPr>
        <w:t>).</w:t>
      </w:r>
    </w:p>
    <w:p w14:paraId="4F0A76A0" w14:textId="77777777" w:rsidR="00DF28C6" w:rsidRPr="00443B6F" w:rsidRDefault="00DF28C6" w:rsidP="00E80D50">
      <w:pPr>
        <w:spacing w:after="120" w:line="276" w:lineRule="auto"/>
        <w:ind w:firstLine="0"/>
        <w:rPr>
          <w:rFonts w:eastAsiaTheme="minorHAnsi"/>
          <w:lang w:val="hu-HU"/>
        </w:rPr>
      </w:pPr>
    </w:p>
    <w:p w14:paraId="0555161B" w14:textId="29DF8EFF" w:rsidR="00855E98" w:rsidRPr="00443B6F" w:rsidRDefault="009272D3" w:rsidP="00E80D50">
      <w:pPr>
        <w:spacing w:after="120" w:line="276" w:lineRule="auto"/>
        <w:ind w:firstLine="0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befektetési </w:t>
      </w:r>
      <w:r w:rsidR="0099541B" w:rsidRPr="00443B6F">
        <w:rPr>
          <w:rFonts w:eastAsiaTheme="minorHAnsi" w:cstheme="minorHAnsi"/>
          <w:color w:val="548DD4" w:themeColor="text2" w:themeTint="99"/>
          <w:lang w:val="hu-HU"/>
        </w:rPr>
        <w:t>komponens</w:t>
      </w:r>
      <w:r w:rsidR="0099541B" w:rsidRPr="00443B6F">
        <w:rPr>
          <w:rFonts w:eastAsiaTheme="minorHAnsi"/>
          <w:lang w:val="hu-HU"/>
        </w:rPr>
        <w:t xml:space="preserve"> </w:t>
      </w:r>
      <w:r w:rsidRPr="00443B6F">
        <w:rPr>
          <w:rFonts w:eastAsiaTheme="minorHAnsi"/>
          <w:lang w:val="hu-HU"/>
        </w:rPr>
        <w:t>jól elkülönülőnek tekinthető, ha ugyanazon a piacon egyenértékű feltételekkel önállóan értékesíthető</w:t>
      </w:r>
      <w:r w:rsidR="00B44F30" w:rsidRPr="00443B6F">
        <w:rPr>
          <w:rFonts w:eastAsiaTheme="minorHAnsi"/>
          <w:lang w:val="hu-HU"/>
        </w:rPr>
        <w:t xml:space="preserve"> (de nem szükséges feltétel, hogy biztosító által) és </w:t>
      </w:r>
      <w:r w:rsidR="00B44F30" w:rsidRPr="00443B6F">
        <w:rPr>
          <w:rFonts w:eastAsiaTheme="minorHAnsi" w:cstheme="minorHAnsi"/>
          <w:color w:val="548DD4" w:themeColor="text2" w:themeTint="99"/>
          <w:lang w:val="hu-HU"/>
        </w:rPr>
        <w:t xml:space="preserve">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befektetési és a biztosítási komponens</w:t>
      </w:r>
      <w:r w:rsidRPr="00443B6F">
        <w:rPr>
          <w:rFonts w:eastAsiaTheme="minorHAnsi"/>
          <w:lang w:val="hu-HU"/>
        </w:rPr>
        <w:t xml:space="preserve"> </w:t>
      </w:r>
      <w:r w:rsidR="00B44F30" w:rsidRPr="00443B6F">
        <w:rPr>
          <w:rFonts w:eastAsiaTheme="minorHAnsi"/>
          <w:lang w:val="hu-HU"/>
        </w:rPr>
        <w:t xml:space="preserve">nem függ </w:t>
      </w:r>
      <w:r w:rsidRPr="00443B6F">
        <w:rPr>
          <w:rFonts w:eastAsiaTheme="minorHAnsi"/>
          <w:lang w:val="hu-HU"/>
        </w:rPr>
        <w:t>szorosan össze</w:t>
      </w:r>
      <w:r w:rsidR="00855E98" w:rsidRPr="00443B6F">
        <w:rPr>
          <w:rFonts w:eastAsiaTheme="minorHAnsi"/>
          <w:lang w:val="hu-HU"/>
        </w:rPr>
        <w:t>.</w:t>
      </w:r>
    </w:p>
    <w:p w14:paraId="5F75B662" w14:textId="77777777" w:rsidR="00DF28C6" w:rsidRPr="00443B6F" w:rsidRDefault="00DF28C6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2C3DCA19" w14:textId="77777777" w:rsidR="009272D3" w:rsidRPr="00443B6F" w:rsidRDefault="009272D3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 xml:space="preserve">A </w:t>
      </w:r>
      <w:r w:rsidRPr="00443B6F">
        <w:rPr>
          <w:rFonts w:eastAsiaTheme="minorHAnsi"/>
          <w:bCs/>
          <w:iCs/>
          <w:lang w:val="hu-HU"/>
        </w:rPr>
        <w:t>szoros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 összefüggés két jellemzője:</w:t>
      </w:r>
    </w:p>
    <w:p w14:paraId="597EF513" w14:textId="63C1A3FD" w:rsidR="009272D3" w:rsidRPr="00443B6F" w:rsidRDefault="009272D3" w:rsidP="00E80D50">
      <w:pPr>
        <w:pStyle w:val="ListParagraph"/>
        <w:numPr>
          <w:ilvl w:val="0"/>
          <w:numId w:val="38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vállalkozás nem tudja értékelni az egyik komponenst a másik </w:t>
      </w:r>
      <w:proofErr w:type="gramStart"/>
      <w:r w:rsidRPr="00443B6F">
        <w:rPr>
          <w:rFonts w:eastAsiaTheme="minorHAnsi"/>
          <w:lang w:val="hu-HU"/>
        </w:rPr>
        <w:t>figyelembe vétele</w:t>
      </w:r>
      <w:proofErr w:type="gramEnd"/>
      <w:r w:rsidRPr="00443B6F">
        <w:rPr>
          <w:rFonts w:eastAsiaTheme="minorHAnsi"/>
          <w:lang w:val="hu-HU"/>
        </w:rPr>
        <w:t xml:space="preserve"> nélkül</w:t>
      </w:r>
      <w:r w:rsidR="00B44F30" w:rsidRPr="00443B6F">
        <w:rPr>
          <w:rFonts w:eastAsiaTheme="minorHAnsi"/>
          <w:lang w:val="hu-HU"/>
        </w:rPr>
        <w:t xml:space="preserve"> (azaz például a biztosítási komponens értéke függ a befektetési komponens értékétől)</w:t>
      </w:r>
      <w:r w:rsidRPr="00443B6F">
        <w:rPr>
          <w:rFonts w:eastAsiaTheme="minorHAnsi"/>
          <w:lang w:val="hu-HU"/>
        </w:rPr>
        <w:t>, vagy</w:t>
      </w:r>
    </w:p>
    <w:p w14:paraId="768CCB7E" w14:textId="3D10D8A5" w:rsidR="009272D3" w:rsidRPr="00443B6F" w:rsidRDefault="009272D3" w:rsidP="00E80D50">
      <w:pPr>
        <w:pStyle w:val="ListParagraph"/>
        <w:numPr>
          <w:ilvl w:val="0"/>
          <w:numId w:val="38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kötvénytulajdonos nem tud az egyik komponens hasznaiból részesülni, akkor, ha a másik komponens </w:t>
      </w:r>
      <w:r w:rsidR="00B44F30" w:rsidRPr="00443B6F">
        <w:rPr>
          <w:rFonts w:eastAsiaTheme="minorHAnsi"/>
          <w:lang w:val="hu-HU"/>
        </w:rPr>
        <w:t xml:space="preserve">megszűnik </w:t>
      </w:r>
      <w:r w:rsidRPr="00443B6F">
        <w:rPr>
          <w:rFonts w:eastAsiaTheme="minorHAnsi"/>
          <w:lang w:val="hu-HU"/>
        </w:rPr>
        <w:t>(</w:t>
      </w:r>
      <w:proofErr w:type="gramStart"/>
      <w:r w:rsidRPr="00443B6F">
        <w:rPr>
          <w:rFonts w:eastAsiaTheme="minorHAnsi"/>
          <w:lang w:val="hu-HU"/>
        </w:rPr>
        <w:t>pl.</w:t>
      </w:r>
      <w:proofErr w:type="gramEnd"/>
      <w:r w:rsidRPr="00443B6F">
        <w:rPr>
          <w:rFonts w:eastAsiaTheme="minorHAnsi"/>
          <w:lang w:val="hu-HU"/>
        </w:rPr>
        <w:t xml:space="preserve"> ha az egyik komponens lejárata vagy </w:t>
      </w:r>
      <w:r w:rsidR="00B44F30" w:rsidRPr="00443B6F">
        <w:rPr>
          <w:rFonts w:eastAsiaTheme="minorHAnsi"/>
          <w:lang w:val="hu-HU"/>
        </w:rPr>
        <w:t>törlése</w:t>
      </w:r>
      <w:r w:rsidRPr="00443B6F">
        <w:rPr>
          <w:rFonts w:eastAsiaTheme="minorHAnsi"/>
          <w:lang w:val="hu-HU"/>
        </w:rPr>
        <w:t xml:space="preserve"> m</w:t>
      </w:r>
      <w:r w:rsidR="00B44F30" w:rsidRPr="00443B6F">
        <w:rPr>
          <w:rFonts w:eastAsiaTheme="minorHAnsi"/>
          <w:lang w:val="hu-HU"/>
        </w:rPr>
        <w:t>aga után vonja a másik komponens megszűnését</w:t>
      </w:r>
      <w:r w:rsidRPr="00443B6F">
        <w:rPr>
          <w:rFonts w:eastAsiaTheme="minorHAnsi"/>
          <w:lang w:val="hu-HU"/>
        </w:rPr>
        <w:t xml:space="preserve"> is)</w:t>
      </w:r>
    </w:p>
    <w:p w14:paraId="126788B4" w14:textId="77777777" w:rsidR="009272D3" w:rsidRPr="00443B6F" w:rsidRDefault="009272D3" w:rsidP="002D5A3D">
      <w:pPr>
        <w:ind w:firstLine="0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28F41278" w14:textId="2113304C" w:rsidR="00FF2B4C" w:rsidRPr="00443B6F" w:rsidRDefault="00855E98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>Példaként tekintsünk egy u</w:t>
      </w:r>
      <w:r w:rsidR="00256E8C" w:rsidRPr="00443B6F">
        <w:rPr>
          <w:rStyle w:val="BookTitle"/>
          <w:rFonts w:cstheme="minorHAnsi"/>
          <w:b w:val="0"/>
          <w:i w:val="0"/>
          <w:lang w:val="hu-HU"/>
        </w:rPr>
        <w:t>nit-linked</w:t>
      </w:r>
      <w:r w:rsidR="00FF2B4C" w:rsidRPr="00443B6F">
        <w:rPr>
          <w:rStyle w:val="BookTitle"/>
          <w:rFonts w:cstheme="minorHAnsi"/>
          <w:b w:val="0"/>
          <w:i w:val="0"/>
          <w:lang w:val="hu-HU"/>
        </w:rPr>
        <w:t xml:space="preserve"> nyugdíjbiztosítás</w:t>
      </w:r>
      <w:r w:rsidR="005F5E7A" w:rsidRPr="00443B6F">
        <w:rPr>
          <w:rStyle w:val="BookTitle"/>
          <w:rFonts w:cstheme="minorHAnsi"/>
          <w:b w:val="0"/>
          <w:i w:val="0"/>
          <w:lang w:val="hu-HU"/>
        </w:rPr>
        <w:t xml:space="preserve"> (melyben, mint fő-biztosításban nincsen </w:t>
      </w:r>
      <w:r w:rsidR="00FF2B4C" w:rsidRPr="00443B6F">
        <w:rPr>
          <w:rStyle w:val="BookTitle"/>
          <w:rFonts w:cstheme="minorHAnsi"/>
          <w:b w:val="0"/>
          <w:i w:val="0"/>
          <w:lang w:val="hu-HU"/>
        </w:rPr>
        <w:t>haláleseti kockázat</w:t>
      </w:r>
      <w:r w:rsidR="005F5E7A" w:rsidRPr="00443B6F">
        <w:rPr>
          <w:rStyle w:val="BookTitle"/>
          <w:rFonts w:cstheme="minorHAnsi"/>
          <w:b w:val="0"/>
          <w:i w:val="0"/>
          <w:lang w:val="hu-HU"/>
        </w:rPr>
        <w:t xml:space="preserve">), a hozzá kapcsolódó kiegészítő biztosítás viszont tartalmaz </w:t>
      </w:r>
      <w:r w:rsidR="00FF2B4C" w:rsidRPr="00443B6F">
        <w:rPr>
          <w:rStyle w:val="BookTitle"/>
          <w:rFonts w:cstheme="minorHAnsi"/>
          <w:b w:val="0"/>
          <w:i w:val="0"/>
          <w:lang w:val="hu-HU"/>
        </w:rPr>
        <w:t xml:space="preserve">egy </w:t>
      </w:r>
      <w:r w:rsidR="00CC34ED" w:rsidRPr="00443B6F">
        <w:rPr>
          <w:rStyle w:val="BookTitle"/>
          <w:rFonts w:cstheme="minorHAnsi"/>
          <w:b w:val="0"/>
          <w:i w:val="0"/>
          <w:lang w:val="hu-HU"/>
        </w:rPr>
        <w:t>bármely okú kockázati életbiztosítás</w:t>
      </w:r>
      <w:r w:rsidR="00B44F30" w:rsidRPr="00443B6F">
        <w:rPr>
          <w:rStyle w:val="BookTitle"/>
          <w:rFonts w:cstheme="minorHAnsi"/>
          <w:b w:val="0"/>
          <w:i w:val="0"/>
          <w:lang w:val="hu-HU"/>
        </w:rPr>
        <w:t>i</w:t>
      </w:r>
      <w:r w:rsidR="00FF2B4C" w:rsidRPr="00443B6F">
        <w:rPr>
          <w:rStyle w:val="BookTitle"/>
          <w:rFonts w:cstheme="minorHAnsi"/>
          <w:b w:val="0"/>
          <w:i w:val="0"/>
          <w:lang w:val="hu-HU"/>
        </w:rPr>
        <w:t xml:space="preserve"> komponens</w:t>
      </w:r>
      <w:r w:rsidR="005F5E7A" w:rsidRPr="00443B6F">
        <w:rPr>
          <w:rStyle w:val="BookTitle"/>
          <w:rFonts w:cstheme="minorHAnsi"/>
          <w:b w:val="0"/>
          <w:i w:val="0"/>
          <w:lang w:val="hu-HU"/>
        </w:rPr>
        <w:t>t. A fő- és a kiegészítő biztosítás</w:t>
      </w:r>
      <w:r w:rsidR="00CC34ED" w:rsidRPr="00443B6F">
        <w:rPr>
          <w:rStyle w:val="BookTitle"/>
          <w:rFonts w:cstheme="minorHAnsi"/>
          <w:b w:val="0"/>
          <w:i w:val="0"/>
          <w:lang w:val="hu-HU"/>
        </w:rPr>
        <w:t xml:space="preserve"> tartama megegyezik. Mindk</w:t>
      </w:r>
      <w:r w:rsidR="005F5E7A" w:rsidRPr="00443B6F">
        <w:rPr>
          <w:rStyle w:val="BookTitle"/>
          <w:rFonts w:cstheme="minorHAnsi"/>
          <w:b w:val="0"/>
          <w:i w:val="0"/>
          <w:lang w:val="hu-HU"/>
        </w:rPr>
        <w:t>ét komponens</w:t>
      </w:r>
      <w:r w:rsidR="00CC34ED" w:rsidRPr="00443B6F">
        <w:rPr>
          <w:rStyle w:val="BookTitle"/>
          <w:rFonts w:cstheme="minorHAnsi"/>
          <w:b w:val="0"/>
          <w:i w:val="0"/>
          <w:lang w:val="hu-HU"/>
        </w:rPr>
        <w:t xml:space="preserve"> folyamatos díjas.</w:t>
      </w:r>
    </w:p>
    <w:p w14:paraId="36755E76" w14:textId="77777777" w:rsidR="00032B66" w:rsidRPr="00443B6F" w:rsidRDefault="00032B66" w:rsidP="002D5A3D">
      <w:pPr>
        <w:ind w:firstLine="0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4FB598AD" w14:textId="6204592A" w:rsidR="00FF2B4C" w:rsidRPr="00443B6F" w:rsidRDefault="00032B66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 xml:space="preserve">A </w:t>
      </w:r>
      <w:r w:rsidRPr="00443B6F">
        <w:rPr>
          <w:rFonts w:eastAsiaTheme="minorHAnsi"/>
          <w:bCs/>
          <w:iCs/>
          <w:color w:val="548DD4" w:themeColor="text2" w:themeTint="99"/>
          <w:lang w:val="hu-HU"/>
        </w:rPr>
        <w:t xml:space="preserve">befektetési komponens </w:t>
      </w:r>
      <w:r w:rsidRPr="00443B6F">
        <w:rPr>
          <w:rStyle w:val="BookTitle"/>
          <w:rFonts w:cstheme="minorHAnsi"/>
          <w:b w:val="0"/>
          <w:i w:val="0"/>
          <w:lang w:val="hu-HU"/>
        </w:rPr>
        <w:t>leválasztása szempontjából vegyük sorra az alábbi eseteket</w:t>
      </w:r>
      <w:r w:rsidR="0099541B" w:rsidRPr="00443B6F">
        <w:rPr>
          <w:rStyle w:val="BookTitle"/>
          <w:rFonts w:cstheme="minorHAnsi"/>
          <w:b w:val="0"/>
          <w:i w:val="0"/>
          <w:lang w:val="hu-HU"/>
        </w:rPr>
        <w:t>, feltéve, hogy a két komponens egyébként a piacon egymástól függetlenül is elérhető</w:t>
      </w:r>
      <w:r w:rsidRPr="00443B6F">
        <w:rPr>
          <w:rStyle w:val="BookTitle"/>
          <w:rFonts w:cstheme="minorHAnsi"/>
          <w:b w:val="0"/>
          <w:i w:val="0"/>
          <w:lang w:val="hu-HU"/>
        </w:rPr>
        <w:t>:</w:t>
      </w:r>
    </w:p>
    <w:p w14:paraId="04AF0D74" w14:textId="77777777" w:rsidR="00FF2B4C" w:rsidRPr="00443B6F" w:rsidRDefault="00FF2B4C" w:rsidP="00E80D50">
      <w:pPr>
        <w:pStyle w:val="ListNumber"/>
        <w:numPr>
          <w:ilvl w:val="0"/>
          <w:numId w:val="7"/>
        </w:numPr>
        <w:tabs>
          <w:tab w:val="num" w:pos="360"/>
        </w:tabs>
        <w:ind w:left="360"/>
        <w:rPr>
          <w:bCs/>
          <w:iCs/>
          <w:lang w:val="hu-HU"/>
        </w:rPr>
      </w:pPr>
      <w:r w:rsidRPr="00443B6F">
        <w:rPr>
          <w:bCs/>
          <w:iCs/>
          <w:lang w:val="hu-HU"/>
        </w:rPr>
        <w:t xml:space="preserve">A </w:t>
      </w:r>
      <w:r w:rsidR="00CC34ED" w:rsidRPr="00443B6F">
        <w:rPr>
          <w:bCs/>
          <w:iCs/>
          <w:lang w:val="hu-HU"/>
        </w:rPr>
        <w:t>kockázati élet</w:t>
      </w:r>
      <w:r w:rsidRPr="00443B6F">
        <w:rPr>
          <w:bCs/>
          <w:iCs/>
          <w:lang w:val="hu-HU"/>
        </w:rPr>
        <w:t xml:space="preserve"> komponens rész csak a nyugdíjbiztosítási résszel együtt szüntethető meg, a </w:t>
      </w:r>
      <w:r w:rsidR="00CC34ED" w:rsidRPr="00443B6F">
        <w:rPr>
          <w:bCs/>
          <w:iCs/>
          <w:lang w:val="hu-HU"/>
        </w:rPr>
        <w:t>kockázati élet</w:t>
      </w:r>
      <w:r w:rsidRPr="00443B6F">
        <w:rPr>
          <w:bCs/>
          <w:iCs/>
          <w:lang w:val="hu-HU"/>
        </w:rPr>
        <w:t xml:space="preserve"> komponens díja </w:t>
      </w:r>
      <w:proofErr w:type="gramStart"/>
      <w:r w:rsidRPr="00443B6F">
        <w:rPr>
          <w:bCs/>
          <w:iCs/>
          <w:lang w:val="hu-HU"/>
        </w:rPr>
        <w:t>a</w:t>
      </w:r>
      <w:proofErr w:type="gramEnd"/>
      <w:r w:rsidRPr="00443B6F">
        <w:rPr>
          <w:bCs/>
          <w:iCs/>
          <w:lang w:val="hu-HU"/>
        </w:rPr>
        <w:t xml:space="preserve"> </w:t>
      </w:r>
      <w:r w:rsidR="00032B66" w:rsidRPr="00443B6F">
        <w:rPr>
          <w:bCs/>
          <w:iCs/>
          <w:lang w:val="hu-HU"/>
        </w:rPr>
        <w:t xml:space="preserve">unit-linked </w:t>
      </w:r>
      <w:r w:rsidRPr="00443B6F">
        <w:rPr>
          <w:bCs/>
          <w:iCs/>
          <w:lang w:val="hu-HU"/>
        </w:rPr>
        <w:t>alapból kerül levonásra</w:t>
      </w:r>
      <w:r w:rsidR="00145FB1" w:rsidRPr="00443B6F">
        <w:rPr>
          <w:bCs/>
          <w:iCs/>
          <w:lang w:val="hu-HU"/>
        </w:rPr>
        <w:t>.</w:t>
      </w:r>
    </w:p>
    <w:p w14:paraId="4AA3BE22" w14:textId="77777777" w:rsidR="00FF2B4C" w:rsidRPr="00443B6F" w:rsidRDefault="00FF2B4C" w:rsidP="00E80D50">
      <w:pPr>
        <w:pStyle w:val="ListNumber"/>
        <w:numPr>
          <w:ilvl w:val="0"/>
          <w:numId w:val="7"/>
        </w:numPr>
        <w:tabs>
          <w:tab w:val="num" w:pos="360"/>
        </w:tabs>
        <w:ind w:left="360"/>
        <w:rPr>
          <w:bCs/>
          <w:iCs/>
          <w:lang w:val="hu-HU"/>
        </w:rPr>
      </w:pPr>
      <w:r w:rsidRPr="00443B6F">
        <w:rPr>
          <w:bCs/>
          <w:iCs/>
          <w:lang w:val="hu-HU"/>
        </w:rPr>
        <w:t xml:space="preserve">A </w:t>
      </w:r>
      <w:r w:rsidR="00CC34ED" w:rsidRPr="00443B6F">
        <w:rPr>
          <w:bCs/>
          <w:iCs/>
          <w:lang w:val="hu-HU"/>
        </w:rPr>
        <w:t>kockázati élet</w:t>
      </w:r>
      <w:r w:rsidRPr="00443B6F">
        <w:rPr>
          <w:bCs/>
          <w:iCs/>
          <w:lang w:val="hu-HU"/>
        </w:rPr>
        <w:t xml:space="preserve"> komponens rész megszüntethető a nyugdíjbiztosítási résztől függetlenül, viszont a nyugdíjbiztosítási komponens megszűnésével a </w:t>
      </w:r>
      <w:r w:rsidR="00CC34ED" w:rsidRPr="00443B6F">
        <w:rPr>
          <w:bCs/>
          <w:iCs/>
          <w:lang w:val="hu-HU"/>
        </w:rPr>
        <w:t xml:space="preserve">kockázati élet </w:t>
      </w:r>
      <w:r w:rsidRPr="00443B6F">
        <w:rPr>
          <w:bCs/>
          <w:iCs/>
          <w:lang w:val="hu-HU"/>
        </w:rPr>
        <w:t>komponens is megszűnik</w:t>
      </w:r>
      <w:r w:rsidR="00145FB1" w:rsidRPr="00443B6F">
        <w:rPr>
          <w:bCs/>
          <w:iCs/>
          <w:lang w:val="hu-HU"/>
        </w:rPr>
        <w:t>.</w:t>
      </w:r>
    </w:p>
    <w:p w14:paraId="595B6CFB" w14:textId="77777777" w:rsidR="00FF2B4C" w:rsidRPr="00443B6F" w:rsidRDefault="00FF2B4C" w:rsidP="00E80D50">
      <w:pPr>
        <w:pStyle w:val="ListNumber"/>
        <w:numPr>
          <w:ilvl w:val="0"/>
          <w:numId w:val="7"/>
        </w:numPr>
        <w:tabs>
          <w:tab w:val="num" w:pos="360"/>
        </w:tabs>
        <w:ind w:left="360"/>
        <w:rPr>
          <w:bCs/>
          <w:iCs/>
          <w:lang w:val="hu-HU"/>
        </w:rPr>
      </w:pPr>
      <w:r w:rsidRPr="00443B6F">
        <w:rPr>
          <w:bCs/>
          <w:iCs/>
          <w:lang w:val="hu-HU"/>
        </w:rPr>
        <w:t xml:space="preserve">A </w:t>
      </w:r>
      <w:r w:rsidR="00CC34ED" w:rsidRPr="00443B6F">
        <w:rPr>
          <w:bCs/>
          <w:iCs/>
          <w:lang w:val="hu-HU"/>
        </w:rPr>
        <w:t>kockázati élet</w:t>
      </w:r>
      <w:r w:rsidRPr="00443B6F">
        <w:rPr>
          <w:bCs/>
          <w:iCs/>
          <w:lang w:val="hu-HU"/>
        </w:rPr>
        <w:t xml:space="preserve"> komponens és a nyugdíjbiztosítási komponens egymástól függetlenül is megszüntethető, a </w:t>
      </w:r>
      <w:r w:rsidR="00CC34ED" w:rsidRPr="00443B6F">
        <w:rPr>
          <w:bCs/>
          <w:iCs/>
          <w:lang w:val="hu-HU"/>
        </w:rPr>
        <w:t>kockázati élet</w:t>
      </w:r>
      <w:r w:rsidRPr="00443B6F">
        <w:rPr>
          <w:bCs/>
          <w:iCs/>
          <w:lang w:val="hu-HU"/>
        </w:rPr>
        <w:t xml:space="preserve"> komponens díja külön fizetendő</w:t>
      </w:r>
      <w:r w:rsidR="00145FB1" w:rsidRPr="00443B6F">
        <w:rPr>
          <w:bCs/>
          <w:iCs/>
          <w:lang w:val="hu-HU"/>
        </w:rPr>
        <w:t>.</w:t>
      </w:r>
    </w:p>
    <w:p w14:paraId="2370C814" w14:textId="77777777" w:rsidR="00FF2B4C" w:rsidRPr="00443B6F" w:rsidRDefault="00FF2B4C" w:rsidP="002D5A3D">
      <w:pPr>
        <w:ind w:firstLine="0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38B87A83" w14:textId="19BE93B4" w:rsidR="00FF2B4C" w:rsidRPr="00443B6F" w:rsidRDefault="00032B66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 xml:space="preserve">A kérdés az, hogy a fenti esetekben le kell-e választani a </w:t>
      </w:r>
      <w:r w:rsidR="00FF2B4C" w:rsidRPr="00443B6F">
        <w:rPr>
          <w:rFonts w:eastAsiaTheme="minorHAnsi"/>
          <w:color w:val="548DD4" w:themeColor="text2" w:themeTint="99"/>
          <w:lang w:val="hu-HU"/>
        </w:rPr>
        <w:t>befektetési komponens</w:t>
      </w:r>
      <w:r w:rsidRPr="00443B6F">
        <w:rPr>
          <w:rFonts w:eastAsiaTheme="minorHAnsi"/>
          <w:color w:val="548DD4" w:themeColor="text2" w:themeTint="99"/>
          <w:lang w:val="hu-HU"/>
        </w:rPr>
        <w:t>t</w:t>
      </w:r>
      <w:r w:rsidRPr="00443B6F">
        <w:rPr>
          <w:rStyle w:val="BookTitle"/>
          <w:rFonts w:cstheme="minorHAnsi"/>
          <w:b w:val="0"/>
          <w:i w:val="0"/>
          <w:lang w:val="hu-HU"/>
        </w:rPr>
        <w:t>.</w:t>
      </w:r>
    </w:p>
    <w:p w14:paraId="1840C5DD" w14:textId="77777777" w:rsidR="00FF2B4C" w:rsidRPr="00443B6F" w:rsidRDefault="00FF2B4C" w:rsidP="00E80D50">
      <w:pPr>
        <w:pStyle w:val="ListNumber"/>
        <w:numPr>
          <w:ilvl w:val="0"/>
          <w:numId w:val="39"/>
        </w:numPr>
        <w:rPr>
          <w:lang w:val="hu-HU"/>
        </w:rPr>
      </w:pPr>
      <w:r w:rsidRPr="00443B6F">
        <w:rPr>
          <w:lang w:val="hu-HU"/>
        </w:rPr>
        <w:t>Nem, mivel a komponensek csak együtt szüntethetők meg</w:t>
      </w:r>
      <w:r w:rsidR="00145FB1" w:rsidRPr="00443B6F">
        <w:rPr>
          <w:lang w:val="hu-HU"/>
        </w:rPr>
        <w:t>.</w:t>
      </w:r>
    </w:p>
    <w:p w14:paraId="07F373B3" w14:textId="77777777" w:rsidR="00FF2B4C" w:rsidRPr="00443B6F" w:rsidRDefault="00FF2B4C" w:rsidP="00E80D50">
      <w:pPr>
        <w:pStyle w:val="ListNumber"/>
        <w:numPr>
          <w:ilvl w:val="0"/>
          <w:numId w:val="39"/>
        </w:numPr>
        <w:tabs>
          <w:tab w:val="num" w:pos="360"/>
        </w:tabs>
        <w:rPr>
          <w:lang w:val="hu-HU"/>
        </w:rPr>
      </w:pPr>
      <w:r w:rsidRPr="00443B6F">
        <w:rPr>
          <w:lang w:val="hu-HU"/>
        </w:rPr>
        <w:t>Nem</w:t>
      </w:r>
      <w:r w:rsidR="001510E8" w:rsidRPr="00443B6F">
        <w:rPr>
          <w:lang w:val="hu-HU"/>
        </w:rPr>
        <w:t>.</w:t>
      </w:r>
      <w:r w:rsidRPr="00443B6F">
        <w:rPr>
          <w:lang w:val="hu-HU"/>
        </w:rPr>
        <w:t xml:space="preserve"> </w:t>
      </w:r>
      <w:r w:rsidR="001510E8" w:rsidRPr="00443B6F">
        <w:rPr>
          <w:lang w:val="hu-HU"/>
        </w:rPr>
        <w:t xml:space="preserve">Bár a kockázati élet komponens megszűnésével a kötvénytulajdonos tud részesülni a nyugdíjbiztosítási komponens hasznaiból ez a másik irányban nem áll fenn, mivel </w:t>
      </w:r>
      <w:r w:rsidRPr="00443B6F">
        <w:rPr>
          <w:lang w:val="hu-HU"/>
        </w:rPr>
        <w:t xml:space="preserve">a nyugdíjbiztosítási komponens megszűnésével megszűnik a </w:t>
      </w:r>
      <w:r w:rsidR="001510E8" w:rsidRPr="00443B6F">
        <w:rPr>
          <w:lang w:val="hu-HU"/>
        </w:rPr>
        <w:t>kockázati élet</w:t>
      </w:r>
      <w:r w:rsidRPr="00443B6F">
        <w:rPr>
          <w:lang w:val="hu-HU"/>
        </w:rPr>
        <w:t xml:space="preserve"> komponens is</w:t>
      </w:r>
      <w:r w:rsidR="00145FB1" w:rsidRPr="00443B6F">
        <w:rPr>
          <w:lang w:val="hu-HU"/>
        </w:rPr>
        <w:t>.</w:t>
      </w:r>
    </w:p>
    <w:p w14:paraId="1C7D8A46" w14:textId="77777777" w:rsidR="00CC34ED" w:rsidRPr="00443B6F" w:rsidRDefault="00CC34ED" w:rsidP="00E80D50">
      <w:pPr>
        <w:pStyle w:val="ListNumber"/>
        <w:numPr>
          <w:ilvl w:val="0"/>
          <w:numId w:val="39"/>
        </w:numPr>
        <w:tabs>
          <w:tab w:val="num" w:pos="360"/>
        </w:tabs>
        <w:rPr>
          <w:lang w:val="hu-HU"/>
        </w:rPr>
      </w:pPr>
      <w:r w:rsidRPr="00443B6F">
        <w:rPr>
          <w:lang w:val="hu-HU"/>
        </w:rPr>
        <w:t>Igen, a két komponens egymástól függetlenül értékelhető és bármelyik komponens megszűnése esetén az ügyfél tud részesülni a másik komponens hasznaiból</w:t>
      </w:r>
      <w:r w:rsidR="00145FB1" w:rsidRPr="00443B6F">
        <w:rPr>
          <w:lang w:val="hu-HU"/>
        </w:rPr>
        <w:t>.</w:t>
      </w:r>
    </w:p>
    <w:p w14:paraId="0406A864" w14:textId="77777777" w:rsidR="00CC34ED" w:rsidRPr="00443B6F" w:rsidRDefault="00CC34ED" w:rsidP="002D5A3D">
      <w:pPr>
        <w:ind w:firstLine="0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0E76C033" w14:textId="77777777" w:rsidR="005703B3" w:rsidRPr="00443B6F" w:rsidRDefault="00910302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 xml:space="preserve">A </w:t>
      </w:r>
      <w:r w:rsidRPr="00443B6F">
        <w:rPr>
          <w:rFonts w:eastAsiaTheme="minorHAnsi"/>
          <w:bCs/>
          <w:iCs/>
          <w:color w:val="548DD4" w:themeColor="text2" w:themeTint="99"/>
          <w:lang w:val="hu-HU"/>
        </w:rPr>
        <w:t>befektetési komponens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 leválasztásával kapcsolatban érdemes megemlíteni, hogy az egyes komponensek külön </w:t>
      </w:r>
      <w:r w:rsidR="00885491" w:rsidRPr="00443B6F">
        <w:rPr>
          <w:rStyle w:val="BookTitle"/>
          <w:rFonts w:cstheme="minorHAnsi"/>
          <w:b w:val="0"/>
          <w:i w:val="0"/>
          <w:lang w:val="hu-HU"/>
        </w:rPr>
        <w:t>történő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 értékelése akkor valósítható meg, ha a vállalkozás a költségek és a jutalékok komponensek szerinti megbontását is el tudja végezni.</w:t>
      </w:r>
    </w:p>
    <w:p w14:paraId="2A1D94EA" w14:textId="77777777" w:rsidR="00CC6BDB" w:rsidRPr="00443B6F" w:rsidRDefault="00CC6BDB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</w:p>
    <w:p w14:paraId="4BE68E4A" w14:textId="5BAC622A" w:rsidR="00CC6BDB" w:rsidRPr="00443B6F" w:rsidRDefault="00CC6BDB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 xml:space="preserve">Amennyiben a </w:t>
      </w:r>
      <w:r w:rsidRPr="00443B6F">
        <w:rPr>
          <w:rFonts w:eastAsiaTheme="minorHAnsi"/>
          <w:color w:val="548DD4" w:themeColor="text2" w:themeTint="99"/>
          <w:lang w:val="hu-HU"/>
        </w:rPr>
        <w:t>befektetési komponens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 leválasztásra kerül, akkor azt az IFRS9 szabvány alapján kell elszámolni és értékelni.</w:t>
      </w:r>
    </w:p>
    <w:p w14:paraId="7E473962" w14:textId="77777777" w:rsidR="00E83373" w:rsidRPr="00443B6F" w:rsidRDefault="00E83373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</w:p>
    <w:p w14:paraId="7F3EC59D" w14:textId="0B7CD66B" w:rsidR="00E83373" w:rsidRPr="00443B6F" w:rsidRDefault="00E83373" w:rsidP="00E80D50">
      <w:pPr>
        <w:spacing w:after="120" w:line="276" w:lineRule="auto"/>
        <w:ind w:firstLine="0"/>
        <w:rPr>
          <w:rStyle w:val="BookTitle"/>
          <w:rFonts w:cstheme="minorHAnsi"/>
          <w:b w:val="0"/>
          <w:i w:val="0"/>
          <w:lang w:val="hu-HU"/>
        </w:rPr>
      </w:pPr>
      <w:r w:rsidRPr="00443B6F">
        <w:rPr>
          <w:rStyle w:val="BookTitle"/>
          <w:rFonts w:cstheme="minorHAnsi"/>
          <w:b w:val="0"/>
          <w:i w:val="0"/>
          <w:lang w:val="hu-HU"/>
        </w:rPr>
        <w:t xml:space="preserve">Amennyiben a szerződésben létezik ugyan </w:t>
      </w:r>
      <w:r w:rsidRPr="00443B6F">
        <w:rPr>
          <w:rFonts w:eastAsiaTheme="minorHAnsi"/>
          <w:bCs/>
          <w:iCs/>
          <w:color w:val="548DD4" w:themeColor="text2" w:themeTint="99"/>
          <w:lang w:val="hu-HU"/>
        </w:rPr>
        <w:t xml:space="preserve">befektetési komponens, 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de az nem kerül leválasztásra, az része lesz a mérlegben a biztosítási szerződésből fakadó kötelezettség értékének, azonban az eredményben nem jelenik meg majd ezen </w:t>
      </w:r>
      <w:r w:rsidRPr="00443B6F">
        <w:rPr>
          <w:rFonts w:eastAsiaTheme="minorHAnsi"/>
          <w:color w:val="548DD4" w:themeColor="text2" w:themeTint="99"/>
          <w:lang w:val="hu-HU"/>
        </w:rPr>
        <w:t>befektetési komponenshez</w:t>
      </w:r>
      <w:r w:rsidRPr="00443B6F">
        <w:rPr>
          <w:rStyle w:val="BookTitle"/>
          <w:rFonts w:cstheme="minorHAnsi"/>
          <w:b w:val="0"/>
          <w:i w:val="0"/>
          <w:lang w:val="hu-HU"/>
        </w:rPr>
        <w:t xml:space="preserve"> kapcsolódó elszámolás.</w:t>
      </w:r>
    </w:p>
    <w:p w14:paraId="4F3A898F" w14:textId="72679BE5" w:rsidR="00E83373" w:rsidRDefault="00E83373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0BD498FB" w14:textId="77777777" w:rsidR="002D5A3D" w:rsidRPr="00443B6F" w:rsidRDefault="002D5A3D" w:rsidP="00B012C0">
      <w:pPr>
        <w:ind w:firstLine="567"/>
        <w:jc w:val="both"/>
        <w:rPr>
          <w:rStyle w:val="BookTitle"/>
          <w:rFonts w:cstheme="minorHAnsi"/>
          <w:b w:val="0"/>
          <w:i w:val="0"/>
          <w:lang w:val="hu-HU"/>
        </w:rPr>
      </w:pPr>
    </w:p>
    <w:p w14:paraId="3E3E475F" w14:textId="77777777" w:rsidR="009272D3" w:rsidRPr="00443B6F" w:rsidRDefault="009272D3" w:rsidP="002C2E47">
      <w:pPr>
        <w:pStyle w:val="Heading3"/>
        <w:numPr>
          <w:ilvl w:val="2"/>
          <w:numId w:val="24"/>
        </w:numPr>
        <w:ind w:left="567" w:hanging="567"/>
        <w:rPr>
          <w:color w:val="244061" w:themeColor="accent1" w:themeShade="80"/>
          <w:sz w:val="26"/>
          <w:szCs w:val="24"/>
          <w:lang w:val="hu-HU"/>
        </w:rPr>
      </w:pPr>
      <w:bookmarkStart w:id="9" w:name="_Toc91191786"/>
      <w:r w:rsidRPr="00443B6F">
        <w:rPr>
          <w:color w:val="244061" w:themeColor="accent1" w:themeShade="80"/>
          <w:sz w:val="26"/>
          <w:szCs w:val="24"/>
          <w:lang w:val="hu-HU"/>
        </w:rPr>
        <w:t xml:space="preserve">Teljesítési kötelem (performance </w:t>
      </w:r>
      <w:proofErr w:type="spellStart"/>
      <w:r w:rsidRPr="00443B6F">
        <w:rPr>
          <w:color w:val="244061" w:themeColor="accent1" w:themeShade="80"/>
          <w:sz w:val="26"/>
          <w:szCs w:val="24"/>
          <w:lang w:val="hu-HU"/>
        </w:rPr>
        <w:t>obligation</w:t>
      </w:r>
      <w:proofErr w:type="spellEnd"/>
      <w:r w:rsidRPr="00443B6F">
        <w:rPr>
          <w:color w:val="244061" w:themeColor="accent1" w:themeShade="80"/>
          <w:sz w:val="26"/>
          <w:szCs w:val="24"/>
          <w:lang w:val="hu-HU"/>
        </w:rPr>
        <w:t>)</w:t>
      </w:r>
      <w:bookmarkEnd w:id="9"/>
    </w:p>
    <w:p w14:paraId="7644D968" w14:textId="77777777" w:rsidR="009272D3" w:rsidRPr="00443B6F" w:rsidRDefault="009272D3" w:rsidP="00B012C0">
      <w:pPr>
        <w:ind w:firstLine="567"/>
        <w:jc w:val="both"/>
        <w:rPr>
          <w:rFonts w:asciiTheme="majorHAnsi" w:hAnsiTheme="majorHAnsi"/>
          <w:lang w:val="hu-HU"/>
        </w:rPr>
      </w:pPr>
    </w:p>
    <w:p w14:paraId="765B807C" w14:textId="44000A8A" w:rsidR="00CC6BDB" w:rsidRPr="00443B6F" w:rsidRDefault="00CC6BDB" w:rsidP="00DE60DF">
      <w:pPr>
        <w:spacing w:after="120" w:line="276" w:lineRule="auto"/>
        <w:ind w:firstLine="0"/>
        <w:rPr>
          <w:rFonts w:asciiTheme="majorHAnsi" w:hAnsiTheme="majorHAnsi" w:cstheme="minorHAnsi"/>
          <w:lang w:val="hu-HU"/>
        </w:rPr>
      </w:pPr>
      <w:r w:rsidRPr="00443B6F">
        <w:rPr>
          <w:rFonts w:asciiTheme="majorHAnsi" w:hAnsiTheme="majorHAnsi" w:cstheme="minorHAnsi"/>
          <w:lang w:val="hu-HU"/>
        </w:rPr>
        <w:t xml:space="preserve">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teljesítési kötelem</w:t>
      </w:r>
      <w:r w:rsidR="00032CF6" w:rsidRPr="00443B6F">
        <w:rPr>
          <w:rFonts w:asciiTheme="majorHAnsi" w:hAnsiTheme="majorHAnsi" w:cstheme="minorHAnsi"/>
          <w:lang w:val="hu-HU"/>
        </w:rPr>
        <w:t xml:space="preserve"> az IFRS</w:t>
      </w:r>
      <w:r w:rsidRPr="00443B6F">
        <w:rPr>
          <w:rFonts w:asciiTheme="majorHAnsi" w:hAnsiTheme="majorHAnsi" w:cstheme="minorHAnsi"/>
          <w:lang w:val="hu-HU"/>
        </w:rPr>
        <w:t xml:space="preserve">15 </w:t>
      </w:r>
      <w:r w:rsidR="00032CF6" w:rsidRPr="00443B6F">
        <w:rPr>
          <w:rFonts w:eastAsiaTheme="minorHAnsi" w:cstheme="minorHAnsi"/>
          <w:color w:val="548DD4" w:themeColor="text2" w:themeTint="99"/>
          <w:lang w:val="hu-HU"/>
        </w:rPr>
        <w:t>’</w:t>
      </w:r>
      <w:proofErr w:type="spellStart"/>
      <w:r w:rsidRPr="00443B6F">
        <w:rPr>
          <w:rFonts w:eastAsiaTheme="minorHAnsi" w:cstheme="minorHAnsi"/>
          <w:color w:val="548DD4" w:themeColor="text2" w:themeTint="99"/>
          <w:lang w:val="hu-HU"/>
        </w:rPr>
        <w:t>Revenue</w:t>
      </w:r>
      <w:proofErr w:type="spellEnd"/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 </w:t>
      </w:r>
      <w:proofErr w:type="spellStart"/>
      <w:r w:rsidRPr="00443B6F">
        <w:rPr>
          <w:rFonts w:eastAsiaTheme="minorHAnsi" w:cstheme="minorHAnsi"/>
          <w:color w:val="548DD4" w:themeColor="text2" w:themeTint="99"/>
          <w:lang w:val="hu-HU"/>
        </w:rPr>
        <w:t>from</w:t>
      </w:r>
      <w:proofErr w:type="spellEnd"/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 </w:t>
      </w:r>
      <w:proofErr w:type="spellStart"/>
      <w:r w:rsidRPr="00443B6F">
        <w:rPr>
          <w:rFonts w:eastAsiaTheme="minorHAnsi" w:cstheme="minorHAnsi"/>
          <w:color w:val="548DD4" w:themeColor="text2" w:themeTint="99"/>
          <w:lang w:val="hu-HU"/>
        </w:rPr>
        <w:t>Contracts</w:t>
      </w:r>
      <w:proofErr w:type="spellEnd"/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 </w:t>
      </w:r>
      <w:proofErr w:type="spellStart"/>
      <w:r w:rsidRPr="00443B6F">
        <w:rPr>
          <w:rFonts w:eastAsiaTheme="minorHAnsi" w:cstheme="minorHAnsi"/>
          <w:color w:val="548DD4" w:themeColor="text2" w:themeTint="99"/>
          <w:lang w:val="hu-HU"/>
        </w:rPr>
        <w:t>with</w:t>
      </w:r>
      <w:proofErr w:type="spellEnd"/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 </w:t>
      </w:r>
      <w:proofErr w:type="spellStart"/>
      <w:r w:rsidRPr="00443B6F">
        <w:rPr>
          <w:rFonts w:eastAsiaTheme="minorHAnsi" w:cstheme="minorHAnsi"/>
          <w:color w:val="548DD4" w:themeColor="text2" w:themeTint="99"/>
          <w:lang w:val="hu-HU"/>
        </w:rPr>
        <w:t>Customers</w:t>
      </w:r>
      <w:proofErr w:type="spellEnd"/>
      <w:r w:rsidR="00032CF6" w:rsidRPr="00443B6F">
        <w:rPr>
          <w:rFonts w:eastAsiaTheme="minorHAnsi" w:cstheme="minorHAnsi"/>
          <w:color w:val="548DD4" w:themeColor="text2" w:themeTint="99"/>
          <w:lang w:val="hu-HU"/>
        </w:rPr>
        <w:t>’</w:t>
      </w:r>
      <w:r w:rsidRPr="00443B6F">
        <w:rPr>
          <w:rFonts w:asciiTheme="majorHAnsi" w:hAnsiTheme="majorHAnsi" w:cstheme="minorHAnsi"/>
          <w:lang w:val="hu-HU"/>
        </w:rPr>
        <w:t xml:space="preserve"> </w:t>
      </w:r>
      <w:r w:rsidR="00032CF6" w:rsidRPr="00443B6F">
        <w:rPr>
          <w:rFonts w:asciiTheme="majorHAnsi" w:hAnsiTheme="majorHAnsi" w:cstheme="minorHAnsi"/>
          <w:lang w:val="hu-HU"/>
        </w:rPr>
        <w:t>szerinti definíciója az alábbi</w:t>
      </w:r>
      <w:r w:rsidRPr="00443B6F">
        <w:rPr>
          <w:rFonts w:asciiTheme="majorHAnsi" w:hAnsiTheme="majorHAnsi" w:cstheme="minorHAnsi"/>
          <w:lang w:val="hu-HU"/>
        </w:rPr>
        <w:t>:</w:t>
      </w:r>
    </w:p>
    <w:p w14:paraId="5D64A7F3" w14:textId="77777777" w:rsidR="00DE60DF" w:rsidRPr="00443B6F" w:rsidRDefault="00DE60DF" w:rsidP="00DE60DF">
      <w:pPr>
        <w:spacing w:after="120" w:line="276" w:lineRule="auto"/>
        <w:ind w:firstLine="0"/>
        <w:rPr>
          <w:rStyle w:val="Standard"/>
          <w:rFonts w:eastAsiaTheme="minorHAnsi"/>
        </w:rPr>
      </w:pPr>
      <w:r w:rsidRPr="00443B6F">
        <w:rPr>
          <w:rStyle w:val="Standard"/>
          <w:rFonts w:eastAsiaTheme="minorHAnsi"/>
        </w:rPr>
        <w:t>’szerződésben szereplő ígéret a következők valamelyikének a vevő számára való átadására:</w:t>
      </w:r>
    </w:p>
    <w:p w14:paraId="798C0F68" w14:textId="77777777" w:rsidR="00DE60DF" w:rsidRPr="00443B6F" w:rsidRDefault="00DE60DF" w:rsidP="00DE60DF">
      <w:pPr>
        <w:pStyle w:val="ListNumber"/>
        <w:tabs>
          <w:tab w:val="num" w:pos="360"/>
        </w:tabs>
        <w:ind w:left="360" w:hanging="360"/>
        <w:rPr>
          <w:rStyle w:val="Standard"/>
        </w:rPr>
      </w:pPr>
      <w:r w:rsidRPr="00443B6F">
        <w:rPr>
          <w:rStyle w:val="Standard"/>
        </w:rPr>
        <w:t>a)</w:t>
      </w:r>
      <w:r w:rsidRPr="00443B6F">
        <w:rPr>
          <w:rStyle w:val="Standard"/>
        </w:rPr>
        <w:tab/>
        <w:t>különálló áru vagy szolgáltatás (áru- vagy szolgáltatáscsomag); vagy</w:t>
      </w:r>
    </w:p>
    <w:p w14:paraId="50A12CAB" w14:textId="0D380BD6" w:rsidR="00DE60DF" w:rsidRPr="00443B6F" w:rsidRDefault="00DE60DF" w:rsidP="00DE60DF">
      <w:pPr>
        <w:pStyle w:val="ListNumber"/>
        <w:tabs>
          <w:tab w:val="num" w:pos="360"/>
        </w:tabs>
        <w:ind w:left="360" w:hanging="360"/>
        <w:rPr>
          <w:rStyle w:val="Standard"/>
        </w:rPr>
      </w:pPr>
      <w:r w:rsidRPr="00443B6F">
        <w:rPr>
          <w:rStyle w:val="Standard"/>
        </w:rPr>
        <w:t>b)</w:t>
      </w:r>
      <w:r w:rsidRPr="00443B6F">
        <w:rPr>
          <w:rStyle w:val="Standard"/>
        </w:rPr>
        <w:tab/>
        <w:t>olyan különálló áruk vagy szolgáltatások sorozata, amelyek lényegében azonosak, és amelyek vevőnek való átadása azonos minta szerint történik</w:t>
      </w:r>
    </w:p>
    <w:p w14:paraId="3549A1E8" w14:textId="77777777" w:rsidR="00C27D07" w:rsidRDefault="00C27D07">
      <w:pPr>
        <w:spacing w:after="200" w:line="276" w:lineRule="auto"/>
        <w:ind w:firstLine="0"/>
        <w:rPr>
          <w:rFonts w:asciiTheme="majorHAnsi" w:hAnsiTheme="majorHAnsi" w:cstheme="minorHAnsi"/>
          <w:highlight w:val="yellow"/>
          <w:lang w:val="hu-HU"/>
        </w:rPr>
      </w:pPr>
    </w:p>
    <w:p w14:paraId="0724657B" w14:textId="1340BAC4" w:rsidR="00C27D07" w:rsidRDefault="00C27D07">
      <w:pPr>
        <w:spacing w:after="200" w:line="276" w:lineRule="auto"/>
        <w:ind w:firstLine="0"/>
        <w:rPr>
          <w:rFonts w:asciiTheme="majorHAnsi" w:hAnsiTheme="majorHAnsi" w:cstheme="minorHAnsi"/>
          <w:highlight w:val="yellow"/>
          <w:lang w:val="hu-HU"/>
        </w:rPr>
      </w:pPr>
      <w:r>
        <w:rPr>
          <w:rFonts w:asciiTheme="majorHAnsi" w:hAnsiTheme="majorHAnsi" w:cstheme="minorHAnsi"/>
          <w:highlight w:val="yellow"/>
          <w:lang w:val="hu-HU"/>
        </w:rPr>
        <w:br w:type="page"/>
      </w:r>
    </w:p>
    <w:p w14:paraId="4B9594C3" w14:textId="28F9FEB7" w:rsidR="00361A88" w:rsidRPr="00443B6F" w:rsidRDefault="00DE60DF" w:rsidP="00DE60DF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lastRenderedPageBreak/>
        <w:t xml:space="preserve">A vevői szerződés általában kifejezetten rögzíti a gazdálkodó egység által a vevőnek való átadásra ígért árukat vagy szolgáltatásokat. A vevői szerződésben meghatározott teljesítési kötelmek azonban nem mindig korlátozódnak az adott szerződésben kifejezetten rögzített árukra vagy szolgáltatásokra. A vevői szerződés magában foglalhat a gazdálkodó egység szokásos üzleti gyakorlatából, közzétett politikáiból vagy konkrét nyilatkozataiból következő ígéreteket is, ha a vevő ezen ígéretek alapján a szerződéskötéskor megalapozottan várja, hogy a gazdálkodó egység át fogja adni számára az árut vagy szolgáltatást. A gazdálkodó egység által a szerződés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teljesítése érdekében</w:t>
      </w:r>
      <w:r w:rsidRPr="00443B6F">
        <w:rPr>
          <w:rFonts w:eastAsiaTheme="minorHAnsi" w:cstheme="minorHAnsi"/>
          <w:lang w:val="hu-HU"/>
        </w:rPr>
        <w:t xml:space="preserve"> végzett tevékenységek csak akkor tartoznak a teljesítési kötelmek közé, ha az áru vagy szolgáltatás vevőnek való átadása e tevékenységekkel valósul meg. Előfordulhat például, hogy egy szolgáltatónak különböző adminisztratív feladatokat kell elvégeznie a szerződés létrejöttéhez. E feladatok elvégzése nem jár a szolgáltatás vevőnek való átadásával. Ezek a szerződéskötési tevékenységek tehát nem minősülnek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teljesítési kötelemnek</w:t>
      </w:r>
      <w:r w:rsidRPr="00443B6F">
        <w:rPr>
          <w:rFonts w:eastAsiaTheme="minorHAnsi" w:cstheme="minorHAnsi"/>
          <w:lang w:val="hu-HU"/>
        </w:rPr>
        <w:t>.</w:t>
      </w:r>
    </w:p>
    <w:p w14:paraId="3D88BA5B" w14:textId="007D8536" w:rsidR="00CC6BDB" w:rsidRPr="00443B6F" w:rsidRDefault="00CC6BDB" w:rsidP="00DE60DF">
      <w:pPr>
        <w:spacing w:after="120" w:line="276" w:lineRule="auto"/>
        <w:ind w:firstLine="0"/>
        <w:rPr>
          <w:rFonts w:eastAsiaTheme="minorHAnsi" w:cstheme="minorHAnsi"/>
          <w:lang w:val="hu-HU"/>
        </w:rPr>
      </w:pPr>
      <w:r w:rsidRPr="00443B6F">
        <w:rPr>
          <w:rFonts w:eastAsiaTheme="minorHAnsi" w:cstheme="minorHAnsi"/>
          <w:lang w:val="hu-HU"/>
        </w:rPr>
        <w:t xml:space="preserve">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 xml:space="preserve">teljesítési kötelmek </w:t>
      </w:r>
      <w:r w:rsidRPr="00443B6F">
        <w:rPr>
          <w:rFonts w:eastAsiaTheme="minorHAnsi" w:cstheme="minorHAnsi"/>
          <w:lang w:val="hu-HU"/>
        </w:rPr>
        <w:t xml:space="preserve">leválasztásához először </w:t>
      </w:r>
      <w:r w:rsidR="005C5E06" w:rsidRPr="00443B6F">
        <w:rPr>
          <w:rFonts w:eastAsiaTheme="minorHAnsi" w:cstheme="minorHAnsi"/>
          <w:lang w:val="hu-HU"/>
        </w:rPr>
        <w:t>szükséges azok</w:t>
      </w:r>
      <w:r w:rsidR="00B3060C" w:rsidRPr="00443B6F">
        <w:rPr>
          <w:rFonts w:eastAsiaTheme="minorHAnsi" w:cstheme="minorHAnsi"/>
          <w:lang w:val="hu-HU"/>
        </w:rPr>
        <w:t xml:space="preserve"> (azaz áru értékesítésén</w:t>
      </w:r>
      <w:r w:rsidR="0099541B" w:rsidRPr="00443B6F">
        <w:rPr>
          <w:rFonts w:eastAsiaTheme="minorHAnsi" w:cstheme="minorHAnsi"/>
          <w:lang w:val="hu-HU"/>
        </w:rPr>
        <w:t>e</w:t>
      </w:r>
      <w:r w:rsidR="00B3060C" w:rsidRPr="00443B6F">
        <w:rPr>
          <w:rFonts w:eastAsiaTheme="minorHAnsi" w:cstheme="minorHAnsi"/>
          <w:lang w:val="hu-HU"/>
        </w:rPr>
        <w:t>k vagy nem-biztosítási szolgáltatás nyújtásának)</w:t>
      </w:r>
      <w:r w:rsidR="005C5E06" w:rsidRPr="00443B6F">
        <w:rPr>
          <w:rFonts w:eastAsiaTheme="minorHAnsi" w:cstheme="minorHAnsi"/>
          <w:lang w:val="hu-HU"/>
        </w:rPr>
        <w:t xml:space="preserve"> be</w:t>
      </w:r>
      <w:r w:rsidRPr="00443B6F">
        <w:rPr>
          <w:rFonts w:eastAsiaTheme="minorHAnsi" w:cstheme="minorHAnsi"/>
          <w:lang w:val="hu-HU"/>
        </w:rPr>
        <w:t>azonosít</w:t>
      </w:r>
      <w:r w:rsidR="005C5E06" w:rsidRPr="00443B6F">
        <w:rPr>
          <w:rFonts w:eastAsiaTheme="minorHAnsi" w:cstheme="minorHAnsi"/>
          <w:lang w:val="hu-HU"/>
        </w:rPr>
        <w:t>ása</w:t>
      </w:r>
      <w:r w:rsidR="00804B28" w:rsidRPr="00443B6F">
        <w:rPr>
          <w:rFonts w:eastAsiaTheme="minorHAnsi" w:cstheme="minorHAnsi"/>
          <w:lang w:val="hu-HU"/>
        </w:rPr>
        <w:t xml:space="preserve"> az előbbi definíció segítségével</w:t>
      </w:r>
      <w:r w:rsidRPr="00443B6F">
        <w:rPr>
          <w:rFonts w:eastAsiaTheme="minorHAnsi" w:cstheme="minorHAnsi"/>
          <w:lang w:val="hu-HU"/>
        </w:rPr>
        <w:t>, majd azután vizsgál</w:t>
      </w:r>
      <w:r w:rsidR="00804B28" w:rsidRPr="00443B6F">
        <w:rPr>
          <w:rFonts w:eastAsiaTheme="minorHAnsi" w:cstheme="minorHAnsi"/>
          <w:lang w:val="hu-HU"/>
        </w:rPr>
        <w:t>andó</w:t>
      </w:r>
      <w:r w:rsidRPr="00443B6F">
        <w:rPr>
          <w:rFonts w:eastAsiaTheme="minorHAnsi" w:cstheme="minorHAnsi"/>
          <w:lang w:val="hu-HU"/>
        </w:rPr>
        <w:t xml:space="preserve">, hogy 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teljesítési kötelem</w:t>
      </w:r>
      <w:r w:rsidRPr="00443B6F">
        <w:rPr>
          <w:rFonts w:eastAsiaTheme="minorHAnsi" w:cstheme="minorHAnsi"/>
          <w:lang w:val="hu-HU"/>
        </w:rPr>
        <w:t xml:space="preserve"> jól elkülönülő-e.</w:t>
      </w:r>
    </w:p>
    <w:p w14:paraId="41621138" w14:textId="77777777" w:rsidR="00CC6BDB" w:rsidRPr="00443B6F" w:rsidRDefault="00CC6BDB" w:rsidP="00DE60DF">
      <w:pPr>
        <w:spacing w:after="120" w:line="276" w:lineRule="auto"/>
        <w:ind w:firstLine="0"/>
        <w:rPr>
          <w:rFonts w:eastAsiaTheme="minorHAnsi" w:cstheme="minorHAnsi"/>
          <w:lang w:val="hu-HU"/>
        </w:rPr>
      </w:pPr>
    </w:p>
    <w:p w14:paraId="47471621" w14:textId="60ABD751" w:rsidR="009272D3" w:rsidRPr="00443B6F" w:rsidRDefault="009272D3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A </w:t>
      </w:r>
      <w:r w:rsidR="00885491" w:rsidRPr="00443B6F">
        <w:rPr>
          <w:rFonts w:eastAsiaTheme="minorHAnsi" w:cstheme="minorHAnsi"/>
          <w:color w:val="548DD4" w:themeColor="text2" w:themeTint="99"/>
          <w:lang w:val="hu-HU"/>
        </w:rPr>
        <w:t>teljesítési kötelem</w:t>
      </w:r>
      <w:r w:rsidR="00FE6815" w:rsidRPr="00443B6F">
        <w:rPr>
          <w:rFonts w:eastAsiaTheme="minorHAnsi"/>
          <w:bCs/>
          <w:iCs/>
          <w:lang w:val="hu-HU"/>
        </w:rPr>
        <w:t xml:space="preserve"> különállónak</w:t>
      </w:r>
      <w:r w:rsidRPr="00443B6F">
        <w:rPr>
          <w:rFonts w:eastAsiaTheme="minorHAnsi"/>
          <w:bCs/>
          <w:iCs/>
          <w:lang w:val="hu-HU"/>
        </w:rPr>
        <w:t xml:space="preserve"> tekint</w:t>
      </w:r>
      <w:r w:rsidR="00804B28" w:rsidRPr="00443B6F">
        <w:rPr>
          <w:rFonts w:eastAsiaTheme="minorHAnsi"/>
          <w:bCs/>
          <w:iCs/>
          <w:lang w:val="hu-HU"/>
        </w:rPr>
        <w:t>endő</w:t>
      </w:r>
      <w:r w:rsidRPr="00443B6F">
        <w:rPr>
          <w:rFonts w:eastAsiaTheme="minorHAnsi"/>
          <w:bCs/>
          <w:iCs/>
          <w:lang w:val="hu-HU"/>
        </w:rPr>
        <w:t xml:space="preserve">, ha </w:t>
      </w:r>
      <w:r w:rsidR="00FE6815" w:rsidRPr="00443B6F">
        <w:rPr>
          <w:rFonts w:eastAsiaTheme="minorHAnsi"/>
          <w:bCs/>
          <w:iCs/>
          <w:lang w:val="hu-HU"/>
        </w:rPr>
        <w:t xml:space="preserve">abból a kötvénytulajdonos önmagában, vagy azt piacon elérhető termékekkel/szolgáltatásokkal kombinálva hasznot tud húzni. </w:t>
      </w:r>
      <w:r w:rsidRPr="00443B6F">
        <w:rPr>
          <w:rFonts w:eastAsiaTheme="minorHAnsi"/>
          <w:bCs/>
          <w:iCs/>
          <w:lang w:val="hu-HU"/>
        </w:rPr>
        <w:t>Nem tekinthető külön</w:t>
      </w:r>
      <w:r w:rsidR="00436828" w:rsidRPr="00443B6F">
        <w:rPr>
          <w:rFonts w:eastAsiaTheme="minorHAnsi"/>
          <w:bCs/>
          <w:iCs/>
          <w:lang w:val="hu-HU"/>
        </w:rPr>
        <w:t>állónak</w:t>
      </w:r>
      <w:r w:rsidRPr="00443B6F">
        <w:rPr>
          <w:rFonts w:eastAsiaTheme="minorHAnsi"/>
          <w:bCs/>
          <w:iCs/>
          <w:lang w:val="hu-HU"/>
        </w:rPr>
        <w:t xml:space="preserve"> a szolgáltatási elem, ha a szolgáltatási elem cash</w:t>
      </w:r>
      <w:r w:rsidR="00885491" w:rsidRPr="00443B6F">
        <w:rPr>
          <w:rFonts w:eastAsiaTheme="minorHAnsi"/>
          <w:bCs/>
          <w:iCs/>
          <w:lang w:val="hu-HU"/>
        </w:rPr>
        <w:t xml:space="preserve"> </w:t>
      </w:r>
      <w:r w:rsidRPr="00443B6F">
        <w:rPr>
          <w:rFonts w:eastAsiaTheme="minorHAnsi"/>
          <w:bCs/>
          <w:iCs/>
          <w:lang w:val="hu-HU"/>
        </w:rPr>
        <w:t xml:space="preserve">flow-i és kockázatai szorosan kapcsolódnak a </w:t>
      </w:r>
      <w:r w:rsidRPr="00443B6F">
        <w:rPr>
          <w:rFonts w:eastAsiaTheme="minorHAnsi" w:cstheme="minorHAnsi"/>
          <w:color w:val="548DD4" w:themeColor="text2" w:themeTint="99"/>
          <w:lang w:val="hu-HU"/>
        </w:rPr>
        <w:t>biztosítási komponenshez</w:t>
      </w:r>
      <w:r w:rsidR="00436828" w:rsidRPr="00443B6F">
        <w:rPr>
          <w:rFonts w:eastAsiaTheme="minorHAnsi"/>
          <w:bCs/>
          <w:iCs/>
          <w:lang w:val="hu-HU"/>
        </w:rPr>
        <w:t xml:space="preserve">, vagy ha a szolgáltatás/áru és a </w:t>
      </w:r>
      <w:r w:rsidR="00436828" w:rsidRPr="00443B6F">
        <w:rPr>
          <w:rFonts w:eastAsiaTheme="minorHAnsi" w:cstheme="minorHAnsi"/>
          <w:color w:val="548DD4" w:themeColor="text2" w:themeTint="99"/>
          <w:lang w:val="hu-HU"/>
        </w:rPr>
        <w:t>biztosítási komponens</w:t>
      </w:r>
      <w:r w:rsidR="00436828" w:rsidRPr="00443B6F">
        <w:rPr>
          <w:rFonts w:eastAsiaTheme="minorHAnsi"/>
          <w:bCs/>
          <w:iCs/>
          <w:lang w:val="hu-HU"/>
        </w:rPr>
        <w:t xml:space="preserve"> integrálása jelentős szolgáltatást kívánt meg a társaság részéről.</w:t>
      </w:r>
    </w:p>
    <w:p w14:paraId="0D28BCDE" w14:textId="77777777" w:rsidR="009272D3" w:rsidRPr="00443B6F" w:rsidRDefault="009272D3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4FC10652" w14:textId="6A6C2169" w:rsidR="00436828" w:rsidRPr="00443B6F" w:rsidRDefault="00CC6BDB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>Példa lehet a</w:t>
      </w:r>
      <w:r w:rsidR="00436828" w:rsidRPr="00443B6F">
        <w:rPr>
          <w:rFonts w:eastAsiaTheme="minorHAnsi"/>
          <w:bCs/>
          <w:iCs/>
          <w:lang w:val="hu-HU"/>
        </w:rPr>
        <w:t xml:space="preserve"> </w:t>
      </w:r>
      <w:r w:rsidR="00436828" w:rsidRPr="00443B6F">
        <w:rPr>
          <w:rFonts w:eastAsiaTheme="minorHAnsi" w:cstheme="minorHAnsi"/>
          <w:color w:val="548DD4" w:themeColor="text2" w:themeTint="99"/>
          <w:lang w:val="hu-HU"/>
        </w:rPr>
        <w:t>biztosítási szerződésben</w:t>
      </w:r>
      <w:r w:rsidR="00436828" w:rsidRPr="00443B6F">
        <w:rPr>
          <w:rFonts w:eastAsiaTheme="minorHAnsi"/>
          <w:bCs/>
          <w:iCs/>
          <w:lang w:val="hu-HU"/>
        </w:rPr>
        <w:t xml:space="preserve"> szereplő termékértékesítésre a </w:t>
      </w:r>
      <w:r w:rsidR="00436828" w:rsidRPr="00443B6F">
        <w:rPr>
          <w:rFonts w:eastAsiaTheme="minorHAnsi" w:cstheme="minorHAnsi"/>
          <w:color w:val="548DD4" w:themeColor="text2" w:themeTint="99"/>
          <w:lang w:val="hu-HU"/>
        </w:rPr>
        <w:t>biztosítási szerződés</w:t>
      </w:r>
      <w:r w:rsidR="00436828" w:rsidRPr="00443B6F">
        <w:rPr>
          <w:rFonts w:eastAsiaTheme="minorHAnsi"/>
          <w:bCs/>
          <w:iCs/>
          <w:lang w:val="hu-HU"/>
        </w:rPr>
        <w:t xml:space="preserve"> megkötésekor a kötvénytulajdonosnak adott bármiféle termék (például mobiltelefon) szolgáltatásnyújtásr</w:t>
      </w:r>
      <w:r w:rsidR="005F5E7A" w:rsidRPr="00443B6F">
        <w:rPr>
          <w:rFonts w:eastAsiaTheme="minorHAnsi"/>
          <w:bCs/>
          <w:iCs/>
          <w:lang w:val="hu-HU"/>
        </w:rPr>
        <w:t>a</w:t>
      </w:r>
      <w:r w:rsidR="00436828" w:rsidRPr="00443B6F">
        <w:rPr>
          <w:rFonts w:eastAsiaTheme="minorHAnsi"/>
          <w:bCs/>
          <w:iCs/>
          <w:lang w:val="hu-HU"/>
        </w:rPr>
        <w:t xml:space="preserve"> pedig a biztosítási szerződéssel együttesen nyújtott adminisztratív szolgáltatás, kárrendezés, vagyonkezelés. Minden esetben szükséges annak vizsgálata, hogy a fenti előírások alkalmazásával vajon sor került-e különálló termékértékesítésre vagy szolgáltatásnyújtásra, s amennyiben igen, ezen elemeket az IFRS15 szabvány szabályai szerint kell a társaságnak elszámolnia. </w:t>
      </w:r>
      <w:r w:rsidR="005F5E7A" w:rsidRPr="00443B6F">
        <w:rPr>
          <w:rFonts w:eastAsiaTheme="minorHAnsi"/>
          <w:bCs/>
          <w:iCs/>
          <w:lang w:val="hu-HU"/>
        </w:rPr>
        <w:t xml:space="preserve">A </w:t>
      </w:r>
      <w:r w:rsidR="005F5E7A" w:rsidRPr="00443B6F">
        <w:rPr>
          <w:rFonts w:eastAsiaTheme="minorHAnsi" w:cstheme="minorHAnsi"/>
          <w:color w:val="548DD4" w:themeColor="text2" w:themeTint="99"/>
          <w:lang w:val="hu-HU"/>
        </w:rPr>
        <w:t>biztosítási szerződések teljesítéséhez</w:t>
      </w:r>
      <w:r w:rsidR="005F5E7A" w:rsidRPr="00443B6F">
        <w:rPr>
          <w:rFonts w:eastAsiaTheme="minorHAnsi"/>
          <w:bCs/>
          <w:iCs/>
          <w:lang w:val="hu-HU"/>
        </w:rPr>
        <w:t xml:space="preserve"> szükséges adminisztratív jellegű feladatok ellátása (így </w:t>
      </w:r>
      <w:r w:rsidR="0099541B" w:rsidRPr="00443B6F">
        <w:rPr>
          <w:rFonts w:eastAsiaTheme="minorHAnsi"/>
          <w:bCs/>
          <w:iCs/>
          <w:lang w:val="hu-HU"/>
        </w:rPr>
        <w:t xml:space="preserve">például </w:t>
      </w:r>
      <w:r w:rsidR="005F5E7A" w:rsidRPr="00443B6F">
        <w:rPr>
          <w:rFonts w:eastAsiaTheme="minorHAnsi"/>
          <w:bCs/>
          <w:iCs/>
          <w:lang w:val="hu-HU"/>
        </w:rPr>
        <w:t>a kárrendezés és a vagyonkezelés) tekintetében várható, hogy miután azokból a kötvénytulajdonos a biztosítási szerződési komponens nélkül nem tud profitálni, azok elkülönítésére csupán korlátozott esetben lesz szükség.</w:t>
      </w:r>
    </w:p>
    <w:p w14:paraId="33131C27" w14:textId="1210800D" w:rsidR="00436828" w:rsidRDefault="00436828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1E0D22FB" w14:textId="77777777" w:rsidR="00C27D07" w:rsidRDefault="00C27D07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5EE00189" w14:textId="52A7CB7F" w:rsidR="00C27D07" w:rsidRDefault="00C27D07">
      <w:pPr>
        <w:spacing w:after="200" w:line="276" w:lineRule="auto"/>
        <w:ind w:firstLine="0"/>
        <w:rPr>
          <w:rFonts w:eastAsiaTheme="minorHAnsi"/>
          <w:bCs/>
          <w:iCs/>
          <w:lang w:val="hu-HU"/>
        </w:rPr>
      </w:pPr>
      <w:r>
        <w:rPr>
          <w:rFonts w:eastAsiaTheme="minorHAnsi"/>
          <w:bCs/>
          <w:iCs/>
          <w:lang w:val="hu-HU"/>
        </w:rPr>
        <w:br w:type="page"/>
      </w:r>
    </w:p>
    <w:p w14:paraId="4CEB4D57" w14:textId="77777777" w:rsidR="00302068" w:rsidRPr="00443B6F" w:rsidRDefault="00796A6C" w:rsidP="00DE60DF">
      <w:pPr>
        <w:pStyle w:val="Heading3"/>
        <w:numPr>
          <w:ilvl w:val="2"/>
          <w:numId w:val="24"/>
        </w:numPr>
        <w:ind w:left="567" w:hanging="567"/>
        <w:rPr>
          <w:color w:val="244061" w:themeColor="accent1" w:themeShade="80"/>
          <w:sz w:val="26"/>
          <w:szCs w:val="24"/>
          <w:lang w:val="hu-HU"/>
        </w:rPr>
      </w:pPr>
      <w:bookmarkStart w:id="10" w:name="_Toc91191787"/>
      <w:r w:rsidRPr="00443B6F">
        <w:rPr>
          <w:color w:val="244061" w:themeColor="accent1" w:themeShade="80"/>
          <w:sz w:val="26"/>
          <w:szCs w:val="24"/>
          <w:lang w:val="hu-HU"/>
        </w:rPr>
        <w:lastRenderedPageBreak/>
        <w:t>A</w:t>
      </w:r>
      <w:r w:rsidR="00302068" w:rsidRPr="00443B6F">
        <w:rPr>
          <w:color w:val="244061" w:themeColor="accent1" w:themeShade="80"/>
          <w:sz w:val="26"/>
          <w:szCs w:val="24"/>
          <w:lang w:val="hu-HU"/>
        </w:rPr>
        <w:t xml:space="preserve"> szerződés határai (</w:t>
      </w:r>
      <w:proofErr w:type="spellStart"/>
      <w:r w:rsidR="00302068" w:rsidRPr="00443B6F">
        <w:rPr>
          <w:color w:val="244061" w:themeColor="accent1" w:themeShade="80"/>
          <w:sz w:val="26"/>
          <w:szCs w:val="24"/>
          <w:lang w:val="hu-HU"/>
        </w:rPr>
        <w:t>contract</w:t>
      </w:r>
      <w:proofErr w:type="spellEnd"/>
      <w:r w:rsidR="00302068" w:rsidRPr="00443B6F">
        <w:rPr>
          <w:color w:val="244061" w:themeColor="accent1" w:themeShade="80"/>
          <w:sz w:val="26"/>
          <w:szCs w:val="24"/>
          <w:lang w:val="hu-HU"/>
        </w:rPr>
        <w:t xml:space="preserve"> </w:t>
      </w:r>
      <w:proofErr w:type="spellStart"/>
      <w:r w:rsidR="00302068" w:rsidRPr="00443B6F">
        <w:rPr>
          <w:color w:val="244061" w:themeColor="accent1" w:themeShade="80"/>
          <w:sz w:val="26"/>
          <w:szCs w:val="24"/>
          <w:lang w:val="hu-HU"/>
        </w:rPr>
        <w:t>boundary</w:t>
      </w:r>
      <w:proofErr w:type="spellEnd"/>
      <w:r w:rsidR="00302068" w:rsidRPr="00443B6F">
        <w:rPr>
          <w:color w:val="244061" w:themeColor="accent1" w:themeShade="80"/>
          <w:sz w:val="26"/>
          <w:szCs w:val="24"/>
          <w:lang w:val="hu-HU"/>
        </w:rPr>
        <w:t>)</w:t>
      </w:r>
      <w:bookmarkEnd w:id="10"/>
    </w:p>
    <w:p w14:paraId="7A02D5C6" w14:textId="77777777" w:rsidR="00302068" w:rsidRPr="00443B6F" w:rsidRDefault="00302068" w:rsidP="00B012C0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18C52C2C" w14:textId="514AAD35" w:rsidR="00305865" w:rsidRPr="00443B6F" w:rsidRDefault="00305865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Mind a szerződések egyes </w:t>
      </w:r>
      <w:r w:rsidR="0099541B" w:rsidRPr="00443B6F">
        <w:rPr>
          <w:rFonts w:eastAsiaTheme="minorHAnsi"/>
          <w:bCs/>
          <w:iCs/>
          <w:lang w:val="hu-HU"/>
        </w:rPr>
        <w:t xml:space="preserve">komponenseinek </w:t>
      </w:r>
      <w:r w:rsidRPr="00443B6F">
        <w:rPr>
          <w:rFonts w:eastAsiaTheme="minorHAnsi"/>
          <w:bCs/>
          <w:iCs/>
          <w:lang w:val="hu-HU"/>
        </w:rPr>
        <w:t xml:space="preserve">meghatározásakor, mind pedig a későbbiekben tárgyalt értékelés tekintetében kiemelt fontossággal bír a szerződés határának kijelölése. </w:t>
      </w:r>
    </w:p>
    <w:p w14:paraId="2B8BE4D0" w14:textId="77777777" w:rsidR="00305865" w:rsidRPr="00443B6F" w:rsidRDefault="00305865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59CFFE98" w14:textId="7F9F2E6E" w:rsidR="003053A2" w:rsidRPr="00443B6F" w:rsidRDefault="00D552D0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>A</w:t>
      </w:r>
      <w:r w:rsidR="00691384" w:rsidRPr="00443B6F">
        <w:rPr>
          <w:rFonts w:eastAsiaTheme="minorHAnsi"/>
          <w:bCs/>
          <w:iCs/>
          <w:lang w:val="hu-HU"/>
        </w:rPr>
        <w:t xml:space="preserve"> </w:t>
      </w:r>
      <w:r w:rsidR="00387EE8" w:rsidRPr="00443B6F">
        <w:rPr>
          <w:rFonts w:eastAsiaTheme="minorHAnsi"/>
          <w:bCs/>
          <w:iCs/>
          <w:lang w:val="hu-HU"/>
        </w:rPr>
        <w:t>szabvány</w:t>
      </w:r>
      <w:r w:rsidR="00691384" w:rsidRPr="00443B6F">
        <w:rPr>
          <w:rFonts w:eastAsiaTheme="minorHAnsi"/>
          <w:bCs/>
          <w:iCs/>
          <w:lang w:val="hu-HU"/>
        </w:rPr>
        <w:t xml:space="preserve"> szerint a</w:t>
      </w:r>
      <w:r w:rsidRPr="00443B6F">
        <w:rPr>
          <w:rFonts w:eastAsiaTheme="minorHAnsi"/>
          <w:bCs/>
          <w:iCs/>
          <w:lang w:val="hu-HU"/>
        </w:rPr>
        <w:t>zon cash</w:t>
      </w:r>
      <w:r w:rsidR="003F387E" w:rsidRPr="00443B6F">
        <w:rPr>
          <w:rFonts w:eastAsiaTheme="minorHAnsi"/>
          <w:bCs/>
          <w:iCs/>
          <w:lang w:val="hu-HU"/>
        </w:rPr>
        <w:t xml:space="preserve"> </w:t>
      </w:r>
      <w:r w:rsidRPr="00443B6F">
        <w:rPr>
          <w:rFonts w:eastAsiaTheme="minorHAnsi"/>
          <w:bCs/>
          <w:iCs/>
          <w:lang w:val="hu-HU"/>
        </w:rPr>
        <w:t xml:space="preserve">flow-k esnek a </w:t>
      </w:r>
      <w:r w:rsidRPr="00443B6F">
        <w:rPr>
          <w:rFonts w:eastAsiaTheme="minorHAnsi"/>
          <w:color w:val="548DD4" w:themeColor="text2" w:themeTint="99"/>
          <w:lang w:val="hu-HU"/>
        </w:rPr>
        <w:t>szerződés határai</w:t>
      </w:r>
      <w:r w:rsidRPr="00443B6F">
        <w:rPr>
          <w:rFonts w:eastAsiaTheme="minorHAnsi"/>
          <w:bCs/>
          <w:iCs/>
          <w:lang w:val="hu-HU"/>
        </w:rPr>
        <w:t xml:space="preserve"> közé, amelyekkel kapcsolatban a vállalkozás „kényszerítheti” a kötvénytulajdonost, hogy fizesse a díjakat, vagy tényleges kötelme van arra, hogy a fedezetet, vagy egyéb szolgáltatásokat nyújts</w:t>
      </w:r>
      <w:r w:rsidR="003053A2" w:rsidRPr="00443B6F">
        <w:rPr>
          <w:rFonts w:eastAsiaTheme="minorHAnsi"/>
          <w:bCs/>
          <w:iCs/>
          <w:lang w:val="hu-HU"/>
        </w:rPr>
        <w:t>on a kötvénytulajdonos számára.</w:t>
      </w:r>
    </w:p>
    <w:p w14:paraId="1B66FC31" w14:textId="77777777" w:rsidR="00D552D0" w:rsidRPr="00443B6F" w:rsidRDefault="00D552D0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>A tényleges kötelem akkor szűnik meg, ha</w:t>
      </w:r>
    </w:p>
    <w:p w14:paraId="58E597A6" w14:textId="0F95EAC4" w:rsidR="00D552D0" w:rsidRPr="00443B6F" w:rsidRDefault="00D552D0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vállalkozásnak </w:t>
      </w:r>
      <w:r w:rsidR="0099541B" w:rsidRPr="00443B6F">
        <w:rPr>
          <w:rFonts w:eastAsiaTheme="minorHAnsi"/>
          <w:lang w:val="hu-HU"/>
        </w:rPr>
        <w:t>gyakorlatilag</w:t>
      </w:r>
      <w:r w:rsidRPr="00443B6F">
        <w:rPr>
          <w:rFonts w:eastAsiaTheme="minorHAnsi"/>
          <w:lang w:val="hu-HU"/>
        </w:rPr>
        <w:t xml:space="preserve"> lehetősége van az adott kötvénytulajdonos kockázatainak újraértékelésére, melynek eredményeként a </w:t>
      </w:r>
      <w:r w:rsidR="00E44B1F" w:rsidRPr="00443B6F">
        <w:rPr>
          <w:rFonts w:eastAsiaTheme="minorHAnsi"/>
          <w:lang w:val="hu-HU"/>
        </w:rPr>
        <w:t xml:space="preserve">szolgáltatások </w:t>
      </w:r>
      <w:r w:rsidR="008D43FB" w:rsidRPr="00443B6F">
        <w:rPr>
          <w:rFonts w:eastAsiaTheme="minorHAnsi"/>
          <w:lang w:val="hu-HU"/>
        </w:rPr>
        <w:t>díját</w:t>
      </w:r>
      <w:r w:rsidRPr="00443B6F">
        <w:rPr>
          <w:rFonts w:eastAsiaTheme="minorHAnsi"/>
          <w:lang w:val="hu-HU"/>
        </w:rPr>
        <w:t xml:space="preserve"> vagy szintjét módosíthatja oly módon, hogy ezek a kockázatokat </w:t>
      </w:r>
      <w:r w:rsidR="0099541B" w:rsidRPr="00443B6F">
        <w:rPr>
          <w:rFonts w:eastAsiaTheme="minorHAnsi"/>
          <w:lang w:val="hu-HU"/>
        </w:rPr>
        <w:t xml:space="preserve">teljes mértékben </w:t>
      </w:r>
      <w:r w:rsidRPr="00443B6F">
        <w:rPr>
          <w:rFonts w:eastAsiaTheme="minorHAnsi"/>
          <w:lang w:val="hu-HU"/>
        </w:rPr>
        <w:t>tükrözzék, vagy</w:t>
      </w:r>
    </w:p>
    <w:p w14:paraId="7AF7AFD1" w14:textId="77777777" w:rsidR="00D552D0" w:rsidRPr="00443B6F" w:rsidRDefault="00D552D0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>mindkét alábbi feltétel teljesül:</w:t>
      </w:r>
    </w:p>
    <w:p w14:paraId="0B20D014" w14:textId="6BF0D599" w:rsidR="00D552D0" w:rsidRPr="00443B6F" w:rsidRDefault="00D552D0" w:rsidP="00DE60DF">
      <w:pPr>
        <w:pStyle w:val="ListParagraph"/>
        <w:numPr>
          <w:ilvl w:val="1"/>
          <w:numId w:val="40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vállalkozásnak </w:t>
      </w:r>
      <w:r w:rsidR="0099541B" w:rsidRPr="00443B6F">
        <w:rPr>
          <w:rFonts w:eastAsiaTheme="minorHAnsi"/>
          <w:lang w:val="hu-HU"/>
        </w:rPr>
        <w:t>gyakorlatilag</w:t>
      </w:r>
      <w:r w:rsidRPr="00443B6F">
        <w:rPr>
          <w:rFonts w:eastAsiaTheme="minorHAnsi"/>
          <w:lang w:val="hu-HU"/>
        </w:rPr>
        <w:t xml:space="preserve"> lehetősége van a biztosítási szerződés</w:t>
      </w:r>
      <w:r w:rsidR="008D43FB" w:rsidRPr="00443B6F">
        <w:rPr>
          <w:rFonts w:eastAsiaTheme="minorHAnsi"/>
          <w:lang w:val="hu-HU"/>
        </w:rPr>
        <w:t xml:space="preserve">portfolió </w:t>
      </w:r>
      <w:r w:rsidRPr="00443B6F">
        <w:rPr>
          <w:rFonts w:eastAsiaTheme="minorHAnsi"/>
          <w:lang w:val="hu-HU"/>
        </w:rPr>
        <w:t xml:space="preserve">kockázatainak újraértékelésére, melynek eredményeként a </w:t>
      </w:r>
      <w:r w:rsidR="00E44B1F" w:rsidRPr="00443B6F">
        <w:rPr>
          <w:rFonts w:eastAsiaTheme="minorHAnsi"/>
          <w:lang w:val="hu-HU"/>
        </w:rPr>
        <w:t>szolgáltatások</w:t>
      </w:r>
      <w:r w:rsidR="00E44B1F" w:rsidRPr="00443B6F" w:rsidDel="00E44B1F">
        <w:rPr>
          <w:rFonts w:eastAsiaTheme="minorHAnsi"/>
          <w:lang w:val="hu-HU"/>
        </w:rPr>
        <w:t xml:space="preserve"> </w:t>
      </w:r>
      <w:r w:rsidR="008D43FB" w:rsidRPr="00443B6F">
        <w:rPr>
          <w:rFonts w:eastAsiaTheme="minorHAnsi"/>
          <w:lang w:val="hu-HU"/>
        </w:rPr>
        <w:t>díját</w:t>
      </w:r>
      <w:r w:rsidRPr="00443B6F">
        <w:rPr>
          <w:rFonts w:eastAsiaTheme="minorHAnsi"/>
          <w:lang w:val="hu-HU"/>
        </w:rPr>
        <w:t xml:space="preserve"> vagy szintjét módosíthatja oly módon, hogy </w:t>
      </w:r>
      <w:r w:rsidR="00551E19" w:rsidRPr="00443B6F">
        <w:rPr>
          <w:rFonts w:eastAsiaTheme="minorHAnsi"/>
          <w:lang w:val="hu-HU"/>
        </w:rPr>
        <w:t xml:space="preserve">ezek </w:t>
      </w:r>
      <w:r w:rsidRPr="00443B6F">
        <w:rPr>
          <w:rFonts w:eastAsiaTheme="minorHAnsi"/>
          <w:lang w:val="hu-HU"/>
        </w:rPr>
        <w:t xml:space="preserve">a portfolió kockázatait </w:t>
      </w:r>
      <w:r w:rsidR="0099541B" w:rsidRPr="00443B6F">
        <w:rPr>
          <w:rFonts w:eastAsiaTheme="minorHAnsi"/>
          <w:lang w:val="hu-HU"/>
        </w:rPr>
        <w:t xml:space="preserve">teljes mértékben </w:t>
      </w:r>
      <w:r w:rsidRPr="00443B6F">
        <w:rPr>
          <w:rFonts w:eastAsiaTheme="minorHAnsi"/>
          <w:lang w:val="hu-HU"/>
        </w:rPr>
        <w:t>tükrözzék</w:t>
      </w:r>
      <w:r w:rsidR="00551E19" w:rsidRPr="00443B6F">
        <w:rPr>
          <w:rFonts w:eastAsiaTheme="minorHAnsi"/>
          <w:lang w:val="hu-HU"/>
        </w:rPr>
        <w:t>,</w:t>
      </w:r>
      <w:r w:rsidRPr="00443B6F">
        <w:rPr>
          <w:rFonts w:eastAsiaTheme="minorHAnsi"/>
          <w:lang w:val="hu-HU"/>
        </w:rPr>
        <w:t xml:space="preserve"> és</w:t>
      </w:r>
    </w:p>
    <w:p w14:paraId="04DB3928" w14:textId="113F42CD" w:rsidR="00D552D0" w:rsidRPr="00443B6F" w:rsidRDefault="00D552D0" w:rsidP="00DE60DF">
      <w:pPr>
        <w:pStyle w:val="ListParagraph"/>
        <w:numPr>
          <w:ilvl w:val="1"/>
          <w:numId w:val="40"/>
        </w:numPr>
        <w:spacing w:after="200" w:line="276" w:lineRule="auto"/>
        <w:rPr>
          <w:rFonts w:eastAsiaTheme="minorHAnsi"/>
          <w:lang w:val="hu-HU"/>
        </w:rPr>
      </w:pPr>
      <w:r w:rsidRPr="00443B6F">
        <w:rPr>
          <w:rFonts w:eastAsiaTheme="minorHAnsi"/>
          <w:lang w:val="hu-HU"/>
        </w:rPr>
        <w:t xml:space="preserve">a kockázatok újraértékelésének időpontjáig érvényes díjak árazásánál </w:t>
      </w:r>
      <w:r w:rsidR="00305865" w:rsidRPr="00443B6F">
        <w:rPr>
          <w:rFonts w:eastAsiaTheme="minorHAnsi"/>
          <w:lang w:val="hu-HU"/>
        </w:rPr>
        <w:t xml:space="preserve">a társaság </w:t>
      </w:r>
      <w:r w:rsidRPr="00443B6F">
        <w:rPr>
          <w:rFonts w:eastAsiaTheme="minorHAnsi"/>
          <w:lang w:val="hu-HU"/>
        </w:rPr>
        <w:t>nem ve</w:t>
      </w:r>
      <w:r w:rsidR="00305865" w:rsidRPr="00443B6F">
        <w:rPr>
          <w:rFonts w:eastAsiaTheme="minorHAnsi"/>
          <w:lang w:val="hu-HU"/>
        </w:rPr>
        <w:t>sz</w:t>
      </w:r>
      <w:r w:rsidRPr="00443B6F">
        <w:rPr>
          <w:rFonts w:eastAsiaTheme="minorHAnsi"/>
          <w:lang w:val="hu-HU"/>
        </w:rPr>
        <w:t xml:space="preserve"> figy</w:t>
      </w:r>
      <w:r w:rsidR="004B027E" w:rsidRPr="00443B6F">
        <w:rPr>
          <w:rFonts w:eastAsiaTheme="minorHAnsi"/>
          <w:lang w:val="hu-HU"/>
        </w:rPr>
        <w:t xml:space="preserve">elembe </w:t>
      </w:r>
      <w:r w:rsidR="00E44B1F" w:rsidRPr="00443B6F">
        <w:rPr>
          <w:rFonts w:eastAsiaTheme="minorHAnsi"/>
          <w:lang w:val="hu-HU"/>
        </w:rPr>
        <w:t xml:space="preserve">az újraértékelést követő </w:t>
      </w:r>
      <w:r w:rsidR="004B027E" w:rsidRPr="00443B6F">
        <w:rPr>
          <w:rFonts w:eastAsiaTheme="minorHAnsi"/>
          <w:lang w:val="hu-HU"/>
        </w:rPr>
        <w:t>időszakokra von</w:t>
      </w:r>
      <w:r w:rsidRPr="00443B6F">
        <w:rPr>
          <w:rFonts w:eastAsiaTheme="minorHAnsi"/>
          <w:lang w:val="hu-HU"/>
        </w:rPr>
        <w:t>a</w:t>
      </w:r>
      <w:r w:rsidR="004B027E" w:rsidRPr="00443B6F">
        <w:rPr>
          <w:rFonts w:eastAsiaTheme="minorHAnsi"/>
          <w:lang w:val="hu-HU"/>
        </w:rPr>
        <w:t>t</w:t>
      </w:r>
      <w:r w:rsidRPr="00443B6F">
        <w:rPr>
          <w:rFonts w:eastAsiaTheme="minorHAnsi"/>
          <w:lang w:val="hu-HU"/>
        </w:rPr>
        <w:t>kozó kockázatokat</w:t>
      </w:r>
      <w:r w:rsidR="00DB3A3A" w:rsidRPr="00443B6F">
        <w:rPr>
          <w:rFonts w:eastAsiaTheme="minorHAnsi"/>
          <w:lang w:val="hu-HU"/>
        </w:rPr>
        <w:t>.</w:t>
      </w:r>
    </w:p>
    <w:p w14:paraId="692C553F" w14:textId="77777777" w:rsidR="00D552D0" w:rsidRPr="00443B6F" w:rsidRDefault="00D552D0" w:rsidP="00B012C0">
      <w:pPr>
        <w:ind w:firstLine="567"/>
        <w:jc w:val="both"/>
        <w:rPr>
          <w:rFonts w:asciiTheme="majorHAnsi" w:hAnsiTheme="majorHAnsi" w:cstheme="minorHAnsi"/>
          <w:lang w:val="hu-HU"/>
        </w:rPr>
      </w:pPr>
    </w:p>
    <w:p w14:paraId="64CF480C" w14:textId="3DDD90F7" w:rsidR="00FC2081" w:rsidRPr="00443B6F" w:rsidRDefault="00646B06" w:rsidP="00DE60DF">
      <w:pPr>
        <w:spacing w:after="120" w:line="276" w:lineRule="auto"/>
        <w:ind w:firstLine="0"/>
        <w:rPr>
          <w:rFonts w:eastAsiaTheme="minorHAnsi"/>
          <w:color w:val="0000FF"/>
          <w:lang w:val="hu-HU"/>
        </w:rPr>
      </w:pPr>
      <w:r w:rsidRPr="00443B6F">
        <w:rPr>
          <w:rStyle w:val="Standard"/>
          <w:rFonts w:cstheme="minorHAnsi"/>
        </w:rPr>
        <w:t>B65.</w:t>
      </w:r>
      <w:r w:rsidRPr="00443B6F">
        <w:rPr>
          <w:rFonts w:eastAsiaTheme="minorHAnsi"/>
          <w:lang w:val="hu-HU"/>
        </w:rPr>
        <w:t xml:space="preserve"> </w:t>
      </w:r>
      <w:r w:rsidR="00FC2081" w:rsidRPr="00443B6F">
        <w:rPr>
          <w:rFonts w:eastAsiaTheme="minorHAnsi"/>
          <w:color w:val="0000FF"/>
          <w:lang w:val="hu-HU"/>
        </w:rPr>
        <w:t>A</w:t>
      </w:r>
      <w:r w:rsidR="00E44B1F" w:rsidRPr="00443B6F">
        <w:rPr>
          <w:rFonts w:eastAsiaTheme="minorHAnsi"/>
          <w:color w:val="0000FF"/>
          <w:lang w:val="hu-HU"/>
        </w:rPr>
        <w:t>z értékelés során a</w:t>
      </w:r>
      <w:r w:rsidR="00FC2081" w:rsidRPr="00443B6F">
        <w:rPr>
          <w:rFonts w:eastAsiaTheme="minorHAnsi"/>
          <w:color w:val="0000FF"/>
          <w:lang w:val="hu-HU"/>
        </w:rPr>
        <w:t xml:space="preserve"> szerződés </w:t>
      </w:r>
      <w:r w:rsidR="003053A2" w:rsidRPr="00443B6F">
        <w:rPr>
          <w:rFonts w:eastAsiaTheme="minorHAnsi"/>
          <w:color w:val="0000FF"/>
          <w:lang w:val="hu-HU"/>
        </w:rPr>
        <w:t>határán belül</w:t>
      </w:r>
      <w:r w:rsidR="00FC2081" w:rsidRPr="00443B6F">
        <w:rPr>
          <w:rFonts w:eastAsiaTheme="minorHAnsi"/>
          <w:color w:val="0000FF"/>
          <w:lang w:val="hu-HU"/>
        </w:rPr>
        <w:t xml:space="preserve"> </w:t>
      </w:r>
      <w:r w:rsidR="00E44B1F" w:rsidRPr="00443B6F">
        <w:rPr>
          <w:rFonts w:eastAsiaTheme="minorHAnsi"/>
          <w:color w:val="0000FF"/>
          <w:lang w:val="hu-HU"/>
        </w:rPr>
        <w:t xml:space="preserve">figyelembe veendő </w:t>
      </w:r>
      <w:r w:rsidR="00FC2081" w:rsidRPr="00443B6F">
        <w:rPr>
          <w:rFonts w:eastAsiaTheme="minorHAnsi"/>
          <w:color w:val="0000FF"/>
          <w:lang w:val="hu-HU"/>
        </w:rPr>
        <w:t>cash</w:t>
      </w:r>
      <w:r w:rsidR="003F387E" w:rsidRPr="00443B6F">
        <w:rPr>
          <w:rFonts w:eastAsiaTheme="minorHAnsi"/>
          <w:color w:val="0000FF"/>
          <w:lang w:val="hu-HU"/>
        </w:rPr>
        <w:t xml:space="preserve"> </w:t>
      </w:r>
      <w:r w:rsidR="00FC2081" w:rsidRPr="00443B6F">
        <w:rPr>
          <w:rFonts w:eastAsiaTheme="minorHAnsi"/>
          <w:color w:val="0000FF"/>
          <w:lang w:val="hu-HU"/>
        </w:rPr>
        <w:t>flow elemek</w:t>
      </w:r>
      <w:r w:rsidR="00952F72" w:rsidRPr="00443B6F">
        <w:rPr>
          <w:rFonts w:eastAsiaTheme="minorHAnsi"/>
          <w:color w:val="0000FF"/>
          <w:lang w:val="hu-HU"/>
        </w:rPr>
        <w:t xml:space="preserve"> az alábbiak</w:t>
      </w:r>
      <w:r w:rsidR="00FC2081" w:rsidRPr="00443B6F">
        <w:rPr>
          <w:rFonts w:eastAsiaTheme="minorHAnsi"/>
          <w:color w:val="0000FF"/>
          <w:lang w:val="hu-HU"/>
        </w:rPr>
        <w:t>:</w:t>
      </w:r>
    </w:p>
    <w:p w14:paraId="7F0BDF5A" w14:textId="77777777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díjak, díjkorrekciók, díjrészletek</w:t>
      </w:r>
    </w:p>
    <w:p w14:paraId="05848E96" w14:textId="6B470CDF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 xml:space="preserve">a kötvénytulajdonosok számára történő kifizetések </w:t>
      </w:r>
      <w:r w:rsidR="00E44B1F" w:rsidRPr="00443B6F">
        <w:rPr>
          <w:rFonts w:eastAsiaTheme="minorHAnsi"/>
          <w:bCs/>
          <w:iCs/>
          <w:color w:val="0000FF"/>
          <w:lang w:val="hu-HU"/>
        </w:rPr>
        <w:t xml:space="preserve">a </w:t>
      </w:r>
      <w:r w:rsidRPr="00443B6F">
        <w:rPr>
          <w:rFonts w:eastAsiaTheme="minorHAnsi"/>
          <w:bCs/>
          <w:iCs/>
          <w:color w:val="0000FF"/>
          <w:lang w:val="hu-HU"/>
        </w:rPr>
        <w:t>már bekövetkezett és a szerződés határain belül bekövetkező jövőbeli károkra</w:t>
      </w:r>
    </w:p>
    <w:p w14:paraId="6299112A" w14:textId="1FDD9DE2" w:rsidR="00305865" w:rsidRPr="00443B6F" w:rsidRDefault="00305865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 xml:space="preserve">a szerződés fedezetéül </w:t>
      </w:r>
      <w:r w:rsidR="00E44B1F" w:rsidRPr="00443B6F">
        <w:rPr>
          <w:rFonts w:eastAsiaTheme="minorHAnsi"/>
          <w:bCs/>
          <w:iCs/>
          <w:color w:val="0000FF"/>
          <w:lang w:val="hu-HU"/>
        </w:rPr>
        <w:t xml:space="preserve">álló mögöttes </w:t>
      </w:r>
      <w:r w:rsidR="00C04294" w:rsidRPr="00443B6F">
        <w:rPr>
          <w:rFonts w:eastAsiaTheme="minorHAnsi"/>
          <w:bCs/>
          <w:iCs/>
          <w:color w:val="0000FF"/>
          <w:lang w:val="hu-HU"/>
        </w:rPr>
        <w:t>eszközök</w:t>
      </w:r>
      <w:r w:rsidR="00E44B1F" w:rsidRPr="00443B6F">
        <w:rPr>
          <w:rFonts w:eastAsiaTheme="minorHAnsi"/>
          <w:bCs/>
          <w:iCs/>
          <w:color w:val="0000FF"/>
          <w:lang w:val="hu-HU"/>
        </w:rPr>
        <w:t xml:space="preserve"> (</w:t>
      </w:r>
      <w:r w:rsidR="00C04294" w:rsidRPr="00443B6F">
        <w:rPr>
          <w:rFonts w:eastAsiaTheme="minorHAnsi"/>
          <w:bCs/>
          <w:iCs/>
          <w:color w:val="0000FF"/>
          <w:lang w:val="hu-HU"/>
        </w:rPr>
        <w:t>„</w:t>
      </w:r>
      <w:proofErr w:type="spellStart"/>
      <w:r w:rsidR="00E44B1F" w:rsidRPr="00443B6F">
        <w:rPr>
          <w:rFonts w:eastAsiaTheme="minorHAnsi"/>
          <w:bCs/>
          <w:iCs/>
          <w:color w:val="0000FF"/>
          <w:lang w:val="hu-HU"/>
        </w:rPr>
        <w:t>unde</w:t>
      </w:r>
      <w:r w:rsidR="00247603" w:rsidRPr="00443B6F">
        <w:rPr>
          <w:rFonts w:eastAsiaTheme="minorHAnsi"/>
          <w:bCs/>
          <w:iCs/>
          <w:color w:val="0000FF"/>
          <w:lang w:val="hu-HU"/>
        </w:rPr>
        <w:t>r</w:t>
      </w:r>
      <w:r w:rsidR="00E44B1F" w:rsidRPr="00443B6F">
        <w:rPr>
          <w:rFonts w:eastAsiaTheme="minorHAnsi"/>
          <w:bCs/>
          <w:iCs/>
          <w:color w:val="0000FF"/>
          <w:lang w:val="hu-HU"/>
        </w:rPr>
        <w:t>lying</w:t>
      </w:r>
      <w:proofErr w:type="spellEnd"/>
      <w:r w:rsidR="00E44B1F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proofErr w:type="spellStart"/>
      <w:r w:rsidR="00E44B1F" w:rsidRPr="00443B6F">
        <w:rPr>
          <w:rFonts w:eastAsiaTheme="minorHAnsi"/>
          <w:bCs/>
          <w:iCs/>
          <w:color w:val="0000FF"/>
          <w:lang w:val="hu-HU"/>
        </w:rPr>
        <w:t>items</w:t>
      </w:r>
      <w:proofErr w:type="spellEnd"/>
      <w:r w:rsidR="00C04294" w:rsidRPr="00443B6F">
        <w:rPr>
          <w:rFonts w:eastAsiaTheme="minorHAnsi"/>
          <w:bCs/>
          <w:iCs/>
          <w:color w:val="0000FF"/>
          <w:lang w:val="hu-HU"/>
        </w:rPr>
        <w:t>”</w:t>
      </w:r>
      <w:r w:rsidR="00E44B1F" w:rsidRPr="00443B6F">
        <w:rPr>
          <w:rFonts w:eastAsiaTheme="minorHAnsi"/>
          <w:bCs/>
          <w:iCs/>
          <w:color w:val="0000FF"/>
          <w:lang w:val="hu-HU"/>
        </w:rPr>
        <w:t xml:space="preserve">) </w:t>
      </w:r>
      <w:r w:rsidRPr="00443B6F">
        <w:rPr>
          <w:rFonts w:eastAsiaTheme="minorHAnsi"/>
          <w:bCs/>
          <w:iCs/>
          <w:color w:val="0000FF"/>
          <w:lang w:val="hu-HU"/>
        </w:rPr>
        <w:t>hozamából a kötvénytulajdonosnak való kifizetések</w:t>
      </w:r>
    </w:p>
    <w:p w14:paraId="4984893D" w14:textId="329BC3FC" w:rsidR="00305865" w:rsidRPr="00443B6F" w:rsidRDefault="00305865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 xml:space="preserve">nem leválasztott szerződéses opciókkal, garanciákkal kapcsolatos cash flow-k (beágyazott </w:t>
      </w:r>
      <w:proofErr w:type="spellStart"/>
      <w:r w:rsidRPr="00443B6F">
        <w:rPr>
          <w:rFonts w:eastAsiaTheme="minorHAnsi"/>
          <w:bCs/>
          <w:iCs/>
          <w:color w:val="0000FF"/>
          <w:lang w:val="hu-HU"/>
        </w:rPr>
        <w:t>derivatívák</w:t>
      </w:r>
      <w:proofErr w:type="spellEnd"/>
      <w:r w:rsidRPr="00443B6F">
        <w:rPr>
          <w:rFonts w:eastAsiaTheme="minorHAnsi"/>
          <w:bCs/>
          <w:iCs/>
          <w:color w:val="0000FF"/>
          <w:lang w:val="hu-HU"/>
        </w:rPr>
        <w:t xml:space="preserve"> pénzáramai)</w:t>
      </w:r>
    </w:p>
    <w:p w14:paraId="495ED2F4" w14:textId="2F28876D" w:rsidR="00FC2081" w:rsidRPr="00443B6F" w:rsidRDefault="00233DEB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a szerződést tartalmazó</w:t>
      </w:r>
      <w:r w:rsidR="00FC2081" w:rsidRPr="00443B6F">
        <w:rPr>
          <w:rFonts w:eastAsiaTheme="minorHAnsi"/>
          <w:bCs/>
          <w:iCs/>
          <w:color w:val="0000FF"/>
          <w:lang w:val="hu-HU"/>
        </w:rPr>
        <w:t xml:space="preserve"> portfolió</w:t>
      </w:r>
      <w:r w:rsidRPr="00443B6F">
        <w:rPr>
          <w:rFonts w:eastAsiaTheme="minorHAnsi"/>
          <w:bCs/>
          <w:iCs/>
          <w:color w:val="0000FF"/>
          <w:lang w:val="hu-HU"/>
        </w:rPr>
        <w:t>hoz</w:t>
      </w:r>
      <w:r w:rsidR="00FC2081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r w:rsidRPr="00443B6F">
        <w:rPr>
          <w:rFonts w:eastAsiaTheme="minorHAnsi"/>
          <w:bCs/>
          <w:iCs/>
          <w:color w:val="0000FF"/>
          <w:lang w:val="hu-HU"/>
        </w:rPr>
        <w:t xml:space="preserve">kapcsolódó </w:t>
      </w:r>
      <w:r w:rsidR="00FC2081" w:rsidRPr="00443B6F">
        <w:rPr>
          <w:rFonts w:eastAsiaTheme="minorHAnsi"/>
          <w:bCs/>
          <w:iCs/>
          <w:color w:val="0000FF"/>
          <w:lang w:val="hu-HU"/>
        </w:rPr>
        <w:t>szerzési költségek</w:t>
      </w:r>
      <w:r w:rsidRPr="00443B6F">
        <w:rPr>
          <w:rFonts w:eastAsiaTheme="minorHAnsi"/>
          <w:bCs/>
          <w:iCs/>
          <w:color w:val="0000FF"/>
          <w:lang w:val="hu-HU"/>
        </w:rPr>
        <w:t xml:space="preserve"> allokációja</w:t>
      </w:r>
    </w:p>
    <w:p w14:paraId="55CFB8E6" w14:textId="77777777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kárrendezési költségek</w:t>
      </w:r>
    </w:p>
    <w:p w14:paraId="1CF53CBA" w14:textId="40E03411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a szerződés</w:t>
      </w:r>
      <w:r w:rsidR="004D74B6" w:rsidRPr="00443B6F">
        <w:rPr>
          <w:rFonts w:eastAsiaTheme="minorHAnsi"/>
          <w:bCs/>
          <w:iCs/>
          <w:color w:val="0000FF"/>
          <w:lang w:val="hu-HU"/>
        </w:rPr>
        <w:t xml:space="preserve"> alapján felmerülő</w:t>
      </w:r>
      <w:r w:rsidRPr="00443B6F">
        <w:rPr>
          <w:rFonts w:eastAsiaTheme="minorHAnsi"/>
          <w:bCs/>
          <w:iCs/>
          <w:color w:val="0000FF"/>
          <w:lang w:val="hu-HU"/>
        </w:rPr>
        <w:t xml:space="preserve"> természetbeni kifizetések teljesítésével kapcsolatban felmerült költségek</w:t>
      </w:r>
    </w:p>
    <w:p w14:paraId="103355F8" w14:textId="77777777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szerződések nyilvántartásával és fenntartásával kapcsolatos költségek, fenntartási jutalékok</w:t>
      </w:r>
    </w:p>
    <w:p w14:paraId="1C75C6E4" w14:textId="743A5759" w:rsidR="00FC2081" w:rsidRPr="00443B6F" w:rsidRDefault="00305865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a biztosítási szerződés</w:t>
      </w:r>
      <w:r w:rsidR="00233DEB" w:rsidRPr="00443B6F">
        <w:rPr>
          <w:rFonts w:eastAsiaTheme="minorHAnsi"/>
          <w:bCs/>
          <w:iCs/>
          <w:color w:val="0000FF"/>
          <w:lang w:val="hu-HU"/>
        </w:rPr>
        <w:t>hez</w:t>
      </w:r>
      <w:r w:rsidRPr="00443B6F">
        <w:rPr>
          <w:rFonts w:eastAsiaTheme="minorHAnsi"/>
          <w:bCs/>
          <w:iCs/>
          <w:color w:val="0000FF"/>
          <w:lang w:val="hu-HU"/>
        </w:rPr>
        <w:t xml:space="preserve"> közvetlenül kapcsolódó</w:t>
      </w:r>
      <w:r w:rsidR="00FC2081" w:rsidRPr="00443B6F">
        <w:rPr>
          <w:rFonts w:eastAsiaTheme="minorHAnsi"/>
          <w:bCs/>
          <w:iCs/>
          <w:color w:val="0000FF"/>
          <w:lang w:val="hu-HU"/>
        </w:rPr>
        <w:t xml:space="preserve"> adók és járulékok</w:t>
      </w:r>
      <w:r w:rsidRPr="00443B6F">
        <w:rPr>
          <w:rFonts w:eastAsiaTheme="minorHAnsi"/>
          <w:bCs/>
          <w:iCs/>
          <w:color w:val="0000FF"/>
          <w:lang w:val="hu-HU"/>
        </w:rPr>
        <w:t xml:space="preserve"> (tranzakció alapú </w:t>
      </w:r>
      <w:proofErr w:type="gramStart"/>
      <w:r w:rsidRPr="00443B6F">
        <w:rPr>
          <w:rFonts w:eastAsiaTheme="minorHAnsi"/>
          <w:bCs/>
          <w:iCs/>
          <w:color w:val="0000FF"/>
          <w:lang w:val="hu-HU"/>
        </w:rPr>
        <w:t>adók</w:t>
      </w:r>
      <w:proofErr w:type="gramEnd"/>
      <w:r w:rsidRPr="00443B6F">
        <w:rPr>
          <w:rFonts w:eastAsiaTheme="minorHAnsi"/>
          <w:bCs/>
          <w:iCs/>
          <w:color w:val="0000FF"/>
          <w:lang w:val="hu-HU"/>
        </w:rPr>
        <w:t xml:space="preserve"> illetve a kötvénytulajdonos nevében megfizetett adók is)</w:t>
      </w:r>
    </w:p>
    <w:p w14:paraId="7E509635" w14:textId="39155718" w:rsidR="00C27D07" w:rsidRPr="005F3D44" w:rsidRDefault="00233DEB" w:rsidP="00D90466">
      <w:pPr>
        <w:pStyle w:val="ListParagraph"/>
        <w:numPr>
          <w:ilvl w:val="0"/>
          <w:numId w:val="40"/>
        </w:numPr>
        <w:spacing w:after="200" w:line="276" w:lineRule="auto"/>
        <w:ind w:firstLine="0"/>
        <w:rPr>
          <w:rFonts w:eastAsiaTheme="minorHAnsi"/>
          <w:color w:val="0000FF"/>
          <w:lang w:val="hu-HU"/>
        </w:rPr>
      </w:pPr>
      <w:r w:rsidRPr="005F3D44">
        <w:rPr>
          <w:rFonts w:eastAsiaTheme="minorHAnsi"/>
          <w:bCs/>
          <w:iCs/>
          <w:color w:val="0000FF"/>
          <w:lang w:val="hu-HU"/>
        </w:rPr>
        <w:t xml:space="preserve">a meglevő szerződések </w:t>
      </w:r>
      <w:r w:rsidR="00FC2081" w:rsidRPr="005F3D44">
        <w:rPr>
          <w:rFonts w:eastAsiaTheme="minorHAnsi"/>
          <w:bCs/>
          <w:iCs/>
          <w:color w:val="0000FF"/>
          <w:lang w:val="hu-HU"/>
        </w:rPr>
        <w:t>jövőbe</w:t>
      </w:r>
      <w:r w:rsidRPr="005F3D44">
        <w:rPr>
          <w:rFonts w:eastAsiaTheme="minorHAnsi"/>
          <w:bCs/>
          <w:iCs/>
          <w:color w:val="0000FF"/>
          <w:lang w:val="hu-HU"/>
        </w:rPr>
        <w:t>n bekövetkező</w:t>
      </w:r>
      <w:r w:rsidR="00FC2081" w:rsidRPr="005F3D44">
        <w:rPr>
          <w:rFonts w:eastAsiaTheme="minorHAnsi"/>
          <w:bCs/>
          <w:iCs/>
          <w:color w:val="0000FF"/>
          <w:lang w:val="hu-HU"/>
        </w:rPr>
        <w:t xml:space="preserve"> </w:t>
      </w:r>
      <w:r w:rsidRPr="005F3D44">
        <w:rPr>
          <w:rFonts w:eastAsiaTheme="minorHAnsi"/>
          <w:bCs/>
          <w:iCs/>
          <w:color w:val="0000FF"/>
          <w:lang w:val="hu-HU"/>
        </w:rPr>
        <w:t xml:space="preserve">káraihoz kapcsolódó </w:t>
      </w:r>
      <w:proofErr w:type="spellStart"/>
      <w:r w:rsidR="00FC2081" w:rsidRPr="005F3D44">
        <w:rPr>
          <w:rFonts w:eastAsiaTheme="minorHAnsi"/>
          <w:bCs/>
          <w:iCs/>
          <w:color w:val="0000FF"/>
          <w:lang w:val="hu-HU"/>
        </w:rPr>
        <w:t>kármegtérülések</w:t>
      </w:r>
      <w:proofErr w:type="spellEnd"/>
      <w:r w:rsidRPr="00443B6F">
        <w:rPr>
          <w:rFonts w:eastAsiaTheme="minorHAnsi"/>
          <w:color w:val="0000FF"/>
          <w:lang w:val="hu-HU"/>
        </w:rPr>
        <w:footnoteReference w:id="9"/>
      </w:r>
      <w:r w:rsidRPr="005F3D44">
        <w:rPr>
          <w:rFonts w:eastAsiaTheme="minorHAnsi"/>
          <w:bCs/>
          <w:iCs/>
          <w:color w:val="0000FF"/>
          <w:lang w:val="hu-HU"/>
        </w:rPr>
        <w:t>, továbbá, amennyiben nem minősülnek különálló eszköznek, a múltban bekövetkező</w:t>
      </w:r>
      <w:r w:rsidRPr="005F3D44">
        <w:rPr>
          <w:rStyle w:val="BookTitle"/>
          <w:rFonts w:cstheme="minorHAnsi"/>
          <w:b w:val="0"/>
          <w:i w:val="0"/>
          <w:color w:val="0000FF"/>
          <w:lang w:val="hu-HU"/>
        </w:rPr>
        <w:t xml:space="preserve"> károkból származó </w:t>
      </w:r>
      <w:proofErr w:type="spellStart"/>
      <w:r w:rsidRPr="005F3D44">
        <w:rPr>
          <w:rStyle w:val="BookTitle"/>
          <w:rFonts w:cstheme="minorHAnsi"/>
          <w:b w:val="0"/>
          <w:i w:val="0"/>
          <w:color w:val="0000FF"/>
          <w:lang w:val="hu-HU"/>
        </w:rPr>
        <w:t>kármegtérülések</w:t>
      </w:r>
      <w:proofErr w:type="spellEnd"/>
      <w:r w:rsidR="00C27D07" w:rsidRPr="005F3D44">
        <w:rPr>
          <w:rFonts w:eastAsiaTheme="minorHAnsi"/>
          <w:color w:val="0000FF"/>
          <w:lang w:val="hu-HU"/>
        </w:rPr>
        <w:br w:type="page"/>
      </w:r>
    </w:p>
    <w:p w14:paraId="39C8CAF6" w14:textId="047E5A08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color w:val="0000FF"/>
          <w:lang w:val="hu-HU"/>
        </w:rPr>
      </w:pPr>
      <w:r w:rsidRPr="00443B6F">
        <w:rPr>
          <w:rFonts w:eastAsiaTheme="minorHAnsi"/>
          <w:color w:val="0000FF"/>
          <w:lang w:val="hu-HU"/>
        </w:rPr>
        <w:lastRenderedPageBreak/>
        <w:t>fix és változó általános költségek (</w:t>
      </w:r>
      <w:proofErr w:type="spellStart"/>
      <w:r w:rsidRPr="00443B6F">
        <w:rPr>
          <w:rFonts w:eastAsiaTheme="minorHAnsi"/>
          <w:color w:val="0000FF"/>
          <w:lang w:val="hu-HU"/>
        </w:rPr>
        <w:t>overheads</w:t>
      </w:r>
      <w:proofErr w:type="spellEnd"/>
      <w:r w:rsidRPr="00443B6F">
        <w:rPr>
          <w:rFonts w:eastAsiaTheme="minorHAnsi"/>
          <w:color w:val="0000FF"/>
          <w:lang w:val="hu-HU"/>
        </w:rPr>
        <w:t>), amennyiben ezek közvetlenül a biztosítási szerződés</w:t>
      </w:r>
      <w:r w:rsidR="003053A2" w:rsidRPr="00443B6F">
        <w:rPr>
          <w:rFonts w:eastAsiaTheme="minorHAnsi"/>
          <w:color w:val="0000FF"/>
          <w:lang w:val="hu-HU"/>
        </w:rPr>
        <w:t>állományból</w:t>
      </w:r>
      <w:r w:rsidRPr="00443B6F">
        <w:rPr>
          <w:rFonts w:eastAsiaTheme="minorHAnsi"/>
          <w:color w:val="0000FF"/>
          <w:lang w:val="hu-HU"/>
        </w:rPr>
        <w:t xml:space="preserve"> származó kötelmek teljesítése érdekében merülnek fel</w:t>
      </w:r>
    </w:p>
    <w:p w14:paraId="671F03ED" w14:textId="77777777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color w:val="0000FF"/>
          <w:lang w:val="hu-HU"/>
        </w:rPr>
      </w:pPr>
      <w:r w:rsidRPr="00443B6F">
        <w:rPr>
          <w:rFonts w:eastAsiaTheme="minorHAnsi"/>
          <w:color w:val="0000FF"/>
          <w:lang w:val="hu-HU"/>
        </w:rPr>
        <w:t>minden egyéb költség, ami a szerződés szerint a kötvénytulajdonost terheli</w:t>
      </w:r>
    </w:p>
    <w:p w14:paraId="2BE67CA8" w14:textId="77777777" w:rsidR="00FC2081" w:rsidRPr="00443B6F" w:rsidRDefault="00FC2081" w:rsidP="00B012C0">
      <w:pPr>
        <w:ind w:firstLine="567"/>
        <w:jc w:val="both"/>
        <w:rPr>
          <w:rStyle w:val="BookTitle"/>
          <w:rFonts w:cstheme="minorHAnsi"/>
          <w:b w:val="0"/>
          <w:i w:val="0"/>
          <w:color w:val="0000FF"/>
          <w:lang w:val="hu-HU"/>
        </w:rPr>
      </w:pPr>
    </w:p>
    <w:p w14:paraId="4448FF8A" w14:textId="6AA161FA" w:rsidR="00FC2081" w:rsidRPr="00443B6F" w:rsidRDefault="00646B06" w:rsidP="00DE60DF">
      <w:pPr>
        <w:spacing w:after="120" w:line="276" w:lineRule="auto"/>
        <w:ind w:firstLine="0"/>
        <w:rPr>
          <w:rFonts w:eastAsiaTheme="minorHAnsi"/>
          <w:bCs/>
          <w:iCs/>
          <w:color w:val="0000FF"/>
          <w:lang w:val="hu-HU"/>
        </w:rPr>
      </w:pPr>
      <w:r w:rsidRPr="00443B6F">
        <w:rPr>
          <w:rStyle w:val="Standard"/>
          <w:rFonts w:cstheme="minorHAnsi"/>
        </w:rPr>
        <w:t>B66.</w:t>
      </w:r>
      <w:r w:rsidRPr="00443B6F">
        <w:rPr>
          <w:rFonts w:eastAsiaTheme="minorHAnsi"/>
          <w:color w:val="0000FF"/>
          <w:lang w:val="hu-HU"/>
        </w:rPr>
        <w:t xml:space="preserve"> </w:t>
      </w:r>
      <w:r w:rsidR="00FC2081" w:rsidRPr="00443B6F">
        <w:rPr>
          <w:rFonts w:eastAsiaTheme="minorHAnsi"/>
          <w:color w:val="0000FF"/>
          <w:lang w:val="hu-HU"/>
        </w:rPr>
        <w:t xml:space="preserve">Nem </w:t>
      </w:r>
      <w:r w:rsidR="00FC2081" w:rsidRPr="00443B6F">
        <w:rPr>
          <w:rFonts w:eastAsiaTheme="minorHAnsi"/>
          <w:bCs/>
          <w:iCs/>
          <w:color w:val="0000FF"/>
          <w:lang w:val="hu-HU"/>
        </w:rPr>
        <w:t>vehetők figyelembe a következő cash</w:t>
      </w:r>
      <w:r w:rsidR="004B027E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r w:rsidR="00FC2081" w:rsidRPr="00443B6F">
        <w:rPr>
          <w:rFonts w:eastAsiaTheme="minorHAnsi"/>
          <w:bCs/>
          <w:iCs/>
          <w:color w:val="0000FF"/>
          <w:lang w:val="hu-HU"/>
        </w:rPr>
        <w:t>flow elemek:</w:t>
      </w:r>
    </w:p>
    <w:p w14:paraId="3F80280D" w14:textId="360AF784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 xml:space="preserve">befektetési eredmény – mivel a befektetéseket külön kell </w:t>
      </w:r>
      <w:r w:rsidR="00DA3811" w:rsidRPr="00443B6F">
        <w:rPr>
          <w:rFonts w:eastAsiaTheme="minorHAnsi"/>
          <w:bCs/>
          <w:iCs/>
          <w:color w:val="0000FF"/>
          <w:lang w:val="hu-HU"/>
        </w:rPr>
        <w:t>kezelni</w:t>
      </w:r>
      <w:r w:rsidRPr="00443B6F">
        <w:rPr>
          <w:rFonts w:eastAsiaTheme="minorHAnsi"/>
          <w:bCs/>
          <w:iCs/>
          <w:color w:val="0000FF"/>
          <w:lang w:val="hu-HU"/>
        </w:rPr>
        <w:t xml:space="preserve">. Ez persze nem jelenti azt, hogy befektetési eredménytől függő </w:t>
      </w:r>
      <w:r w:rsidR="00DA3811" w:rsidRPr="00443B6F">
        <w:rPr>
          <w:rFonts w:eastAsiaTheme="minorHAnsi"/>
          <w:bCs/>
          <w:iCs/>
          <w:color w:val="0000FF"/>
          <w:lang w:val="hu-HU"/>
        </w:rPr>
        <w:t xml:space="preserve">szolgáltatásokat </w:t>
      </w:r>
      <w:r w:rsidRPr="00443B6F">
        <w:rPr>
          <w:rFonts w:eastAsiaTheme="minorHAnsi"/>
          <w:bCs/>
          <w:iCs/>
          <w:color w:val="0000FF"/>
          <w:lang w:val="hu-HU"/>
        </w:rPr>
        <w:t xml:space="preserve">ne </w:t>
      </w:r>
      <w:r w:rsidR="00DA3811" w:rsidRPr="00443B6F">
        <w:rPr>
          <w:rFonts w:eastAsiaTheme="minorHAnsi"/>
          <w:bCs/>
          <w:iCs/>
          <w:color w:val="0000FF"/>
          <w:lang w:val="hu-HU"/>
        </w:rPr>
        <w:t xml:space="preserve">kellene </w:t>
      </w:r>
      <w:r w:rsidRPr="00443B6F">
        <w:rPr>
          <w:rFonts w:eastAsiaTheme="minorHAnsi"/>
          <w:bCs/>
          <w:iCs/>
          <w:color w:val="0000FF"/>
          <w:lang w:val="hu-HU"/>
        </w:rPr>
        <w:t>figyelembe venni</w:t>
      </w:r>
      <w:r w:rsidR="00FE5661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r w:rsidR="003053A2" w:rsidRPr="00443B6F">
        <w:rPr>
          <w:rFonts w:eastAsiaTheme="minorHAnsi"/>
          <w:bCs/>
          <w:iCs/>
          <w:color w:val="0000FF"/>
          <w:lang w:val="hu-HU"/>
        </w:rPr>
        <w:t>(</w:t>
      </w:r>
      <w:r w:rsidR="00FE5661" w:rsidRPr="00443B6F">
        <w:rPr>
          <w:rFonts w:eastAsiaTheme="minorHAnsi"/>
          <w:bCs/>
          <w:iCs/>
          <w:color w:val="0000FF"/>
          <w:lang w:val="hu-HU"/>
        </w:rPr>
        <w:t xml:space="preserve">pl. </w:t>
      </w:r>
      <w:r w:rsidR="003053A2" w:rsidRPr="00443B6F">
        <w:rPr>
          <w:rFonts w:eastAsiaTheme="minorHAnsi"/>
          <w:bCs/>
          <w:iCs/>
          <w:color w:val="0000FF"/>
          <w:lang w:val="hu-HU"/>
        </w:rPr>
        <w:t>többlethozam-visszatérítésből eredő biztosítási összeg</w:t>
      </w:r>
      <w:r w:rsidR="00305865" w:rsidRPr="00443B6F">
        <w:rPr>
          <w:rFonts w:eastAsiaTheme="minorHAnsi"/>
          <w:bCs/>
          <w:iCs/>
          <w:color w:val="0000FF"/>
          <w:lang w:val="hu-HU"/>
        </w:rPr>
        <w:t xml:space="preserve"> – lásd fentebb</w:t>
      </w:r>
      <w:r w:rsidR="003053A2" w:rsidRPr="00443B6F">
        <w:rPr>
          <w:rFonts w:eastAsiaTheme="minorHAnsi"/>
          <w:bCs/>
          <w:iCs/>
          <w:color w:val="0000FF"/>
          <w:lang w:val="hu-HU"/>
        </w:rPr>
        <w:t>)</w:t>
      </w:r>
    </w:p>
    <w:p w14:paraId="328D492C" w14:textId="5DC659F2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viszontbiztosítási cash</w:t>
      </w:r>
      <w:r w:rsidR="004B027E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r w:rsidRPr="00443B6F">
        <w:rPr>
          <w:rFonts w:eastAsiaTheme="minorHAnsi"/>
          <w:bCs/>
          <w:iCs/>
          <w:color w:val="0000FF"/>
          <w:lang w:val="hu-HU"/>
        </w:rPr>
        <w:t xml:space="preserve">flow-k – mivel a viszontbiztosítási szerződéseket külön kell </w:t>
      </w:r>
      <w:r w:rsidR="00DA3811" w:rsidRPr="00443B6F">
        <w:rPr>
          <w:rFonts w:eastAsiaTheme="minorHAnsi"/>
          <w:bCs/>
          <w:iCs/>
          <w:color w:val="0000FF"/>
          <w:lang w:val="hu-HU"/>
        </w:rPr>
        <w:t>kezelni</w:t>
      </w:r>
    </w:p>
    <w:p w14:paraId="713CFDA4" w14:textId="77777777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jövőbeli biztosítási szerződésekből származó, vagyis a meglevő szerződések határain kívül eső cash</w:t>
      </w:r>
      <w:r w:rsidR="004B027E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r w:rsidRPr="00443B6F">
        <w:rPr>
          <w:rFonts w:eastAsiaTheme="minorHAnsi"/>
          <w:bCs/>
          <w:iCs/>
          <w:color w:val="0000FF"/>
          <w:lang w:val="hu-HU"/>
        </w:rPr>
        <w:t>flow-k</w:t>
      </w:r>
    </w:p>
    <w:p w14:paraId="4BDB628E" w14:textId="1FFB53D0" w:rsidR="00FC2081" w:rsidRPr="00443B6F" w:rsidRDefault="0022253B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a biztosítási portfolió</w:t>
      </w:r>
      <w:r w:rsidR="00FC2081" w:rsidRPr="00443B6F">
        <w:rPr>
          <w:rFonts w:eastAsiaTheme="minorHAnsi"/>
          <w:bCs/>
          <w:iCs/>
          <w:color w:val="0000FF"/>
          <w:lang w:val="hu-HU"/>
        </w:rPr>
        <w:t>hoz közvetlenül nem kapcsolható költségek (pl. termékfejlesztés)</w:t>
      </w:r>
      <w:r w:rsidR="00DA3811" w:rsidRPr="00443B6F">
        <w:rPr>
          <w:rFonts w:eastAsiaTheme="minorHAnsi"/>
          <w:bCs/>
          <w:iCs/>
          <w:color w:val="0000FF"/>
          <w:lang w:val="hu-HU"/>
        </w:rPr>
        <w:t xml:space="preserve"> – ezeket felmerüléskor az eredménnyel szemben el kell számolni</w:t>
      </w:r>
    </w:p>
    <w:p w14:paraId="3A60C3AB" w14:textId="77777777" w:rsidR="00FC2081" w:rsidRPr="00443B6F" w:rsidRDefault="00FC2081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a vállalkozás különböző egységei közötti pénzáramok (pl. kötvénytulajdonos eszközportfoli</w:t>
      </w:r>
      <w:r w:rsidR="0022253B" w:rsidRPr="00443B6F">
        <w:rPr>
          <w:rFonts w:eastAsiaTheme="minorHAnsi"/>
          <w:bCs/>
          <w:iCs/>
          <w:color w:val="0000FF"/>
          <w:lang w:val="hu-HU"/>
        </w:rPr>
        <w:t>ó</w:t>
      </w:r>
      <w:r w:rsidRPr="00443B6F">
        <w:rPr>
          <w:rFonts w:eastAsiaTheme="minorHAnsi"/>
          <w:bCs/>
          <w:iCs/>
          <w:color w:val="0000FF"/>
          <w:lang w:val="hu-HU"/>
        </w:rPr>
        <w:t xml:space="preserve"> és saját eszközp</w:t>
      </w:r>
      <w:r w:rsidR="0022253B" w:rsidRPr="00443B6F">
        <w:rPr>
          <w:rFonts w:eastAsiaTheme="minorHAnsi"/>
          <w:bCs/>
          <w:iCs/>
          <w:color w:val="0000FF"/>
          <w:lang w:val="hu-HU"/>
        </w:rPr>
        <w:t>ortfolió</w:t>
      </w:r>
      <w:r w:rsidRPr="00443B6F">
        <w:rPr>
          <w:rFonts w:eastAsiaTheme="minorHAnsi"/>
          <w:bCs/>
          <w:iCs/>
          <w:color w:val="0000FF"/>
          <w:lang w:val="hu-HU"/>
        </w:rPr>
        <w:t xml:space="preserve"> közötti transzferek</w:t>
      </w:r>
      <w:r w:rsidR="003165C9" w:rsidRPr="00443B6F">
        <w:rPr>
          <w:rFonts w:eastAsiaTheme="minorHAnsi"/>
          <w:bCs/>
          <w:iCs/>
          <w:color w:val="0000FF"/>
          <w:lang w:val="hu-HU"/>
        </w:rPr>
        <w:t>)</w:t>
      </w:r>
    </w:p>
    <w:p w14:paraId="2D3F480C" w14:textId="3E0CEB25" w:rsidR="00FC2081" w:rsidRPr="00443B6F" w:rsidRDefault="00796A6C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 xml:space="preserve">olyan pénzáramok, melyek a szerződés teljesítése érdekében </w:t>
      </w:r>
      <w:proofErr w:type="spellStart"/>
      <w:r w:rsidRPr="00443B6F">
        <w:rPr>
          <w:rFonts w:eastAsiaTheme="minorHAnsi"/>
          <w:bCs/>
          <w:iCs/>
          <w:color w:val="0000FF"/>
          <w:lang w:val="hu-HU"/>
        </w:rPr>
        <w:t>igénybevett</w:t>
      </w:r>
      <w:proofErr w:type="spellEnd"/>
      <w:r w:rsidRPr="00443B6F">
        <w:rPr>
          <w:rFonts w:eastAsiaTheme="minorHAnsi"/>
          <w:bCs/>
          <w:iCs/>
          <w:color w:val="0000FF"/>
          <w:lang w:val="hu-HU"/>
        </w:rPr>
        <w:t xml:space="preserve"> rendkívüli munkaerő és egyéb erőforrások fele</w:t>
      </w:r>
      <w:r w:rsidR="00D67068" w:rsidRPr="00443B6F">
        <w:rPr>
          <w:rFonts w:eastAsiaTheme="minorHAnsi"/>
          <w:bCs/>
          <w:iCs/>
          <w:color w:val="0000FF"/>
          <w:lang w:val="hu-HU"/>
        </w:rPr>
        <w:t>sleges felhasználásából erednek</w:t>
      </w:r>
    </w:p>
    <w:p w14:paraId="10A5AF61" w14:textId="7D1B8419" w:rsidR="00D67068" w:rsidRPr="00443B6F" w:rsidRDefault="00D67068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nem közvetlenül a szerződéshez kapcsolódó adófizetések (például társasági adó)</w:t>
      </w:r>
    </w:p>
    <w:p w14:paraId="6FBBAE6D" w14:textId="4A23583D" w:rsidR="00FC2081" w:rsidRPr="00443B6F" w:rsidRDefault="00305865" w:rsidP="00DE60DF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Cs/>
          <w:color w:val="0000FF"/>
          <w:lang w:val="hu-HU"/>
        </w:rPr>
      </w:pPr>
      <w:r w:rsidRPr="00443B6F">
        <w:rPr>
          <w:rFonts w:eastAsiaTheme="minorHAnsi"/>
          <w:bCs/>
          <w:iCs/>
          <w:color w:val="0000FF"/>
          <w:lang w:val="hu-HU"/>
        </w:rPr>
        <w:t>a</w:t>
      </w:r>
      <w:r w:rsidR="00FC2081" w:rsidRPr="00443B6F">
        <w:rPr>
          <w:rFonts w:eastAsiaTheme="minorHAnsi"/>
          <w:bCs/>
          <w:iCs/>
          <w:color w:val="0000FF"/>
          <w:lang w:val="hu-HU"/>
        </w:rPr>
        <w:t xml:space="preserve"> biztosítási szerződésről leválasztott elemek cash</w:t>
      </w:r>
      <w:r w:rsidR="004B027E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r w:rsidR="00FC2081" w:rsidRPr="00443B6F">
        <w:rPr>
          <w:rFonts w:eastAsiaTheme="minorHAnsi"/>
          <w:bCs/>
          <w:iCs/>
          <w:color w:val="0000FF"/>
          <w:lang w:val="hu-HU"/>
        </w:rPr>
        <w:t>flow-i</w:t>
      </w:r>
    </w:p>
    <w:p w14:paraId="0E1F8309" w14:textId="77777777" w:rsidR="00FC2081" w:rsidRPr="00443B6F" w:rsidRDefault="00FC2081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69F2B86C" w14:textId="77777777" w:rsidR="006924A2" w:rsidRPr="00443B6F" w:rsidRDefault="006924A2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 xml:space="preserve">A </w:t>
      </w:r>
      <w:r w:rsidRPr="00443B6F">
        <w:rPr>
          <w:rFonts w:eastAsiaTheme="minorHAnsi"/>
          <w:color w:val="548DD4" w:themeColor="text2" w:themeTint="99"/>
          <w:lang w:val="hu-HU"/>
        </w:rPr>
        <w:t>szerződés határainak</w:t>
      </w:r>
      <w:r w:rsidRPr="00443B6F">
        <w:rPr>
          <w:rFonts w:eastAsiaTheme="minorHAnsi"/>
          <w:bCs/>
          <w:iCs/>
          <w:lang w:val="hu-HU"/>
        </w:rPr>
        <w:t xml:space="preserve"> vizsgálatát minden beszámoló</w:t>
      </w:r>
      <w:r w:rsidR="001508AB" w:rsidRPr="00443B6F">
        <w:rPr>
          <w:rFonts w:eastAsiaTheme="minorHAnsi"/>
          <w:bCs/>
          <w:iCs/>
          <w:lang w:val="hu-HU"/>
        </w:rPr>
        <w:t>-</w:t>
      </w:r>
      <w:r w:rsidRPr="00443B6F">
        <w:rPr>
          <w:rFonts w:eastAsiaTheme="minorHAnsi"/>
          <w:bCs/>
          <w:iCs/>
          <w:lang w:val="hu-HU"/>
        </w:rPr>
        <w:t>készítési időpontban el kell végezni.</w:t>
      </w:r>
    </w:p>
    <w:p w14:paraId="1F9A045E" w14:textId="77777777" w:rsidR="00FC2081" w:rsidRPr="00443B6F" w:rsidRDefault="00FC2081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72A64AA9" w14:textId="749F5D05" w:rsidR="00F62C5B" w:rsidRDefault="00F62C5B" w:rsidP="00DE60DF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  <w:r w:rsidRPr="00443B6F">
        <w:rPr>
          <w:rFonts w:eastAsiaTheme="minorHAnsi"/>
          <w:bCs/>
          <w:iCs/>
          <w:lang w:val="hu-HU"/>
        </w:rPr>
        <w:t>A portfolió szintű jellemzőktől függő kikötés új megközelítést jelent az eddig</w:t>
      </w:r>
      <w:r w:rsidR="003165C9" w:rsidRPr="00443B6F">
        <w:rPr>
          <w:rFonts w:eastAsiaTheme="minorHAnsi"/>
          <w:bCs/>
          <w:iCs/>
          <w:lang w:val="hu-HU"/>
        </w:rPr>
        <w:t>i –</w:t>
      </w:r>
      <w:r w:rsidRPr="00443B6F">
        <w:rPr>
          <w:rFonts w:eastAsiaTheme="minorHAnsi"/>
          <w:bCs/>
          <w:iCs/>
          <w:lang w:val="hu-HU"/>
        </w:rPr>
        <w:t xml:space="preserve"> p</w:t>
      </w:r>
      <w:r w:rsidR="003165C9" w:rsidRPr="00443B6F">
        <w:rPr>
          <w:rFonts w:eastAsiaTheme="minorHAnsi"/>
          <w:bCs/>
          <w:iCs/>
          <w:lang w:val="hu-HU"/>
        </w:rPr>
        <w:t>éldául</w:t>
      </w:r>
      <w:r w:rsidRPr="00443B6F">
        <w:rPr>
          <w:rFonts w:eastAsiaTheme="minorHAnsi"/>
          <w:bCs/>
          <w:iCs/>
          <w:lang w:val="hu-HU"/>
        </w:rPr>
        <w:t xml:space="preserve"> </w:t>
      </w:r>
      <w:r w:rsidR="003165C9" w:rsidRPr="00443B6F">
        <w:rPr>
          <w:rFonts w:eastAsiaTheme="minorHAnsi"/>
          <w:bCs/>
          <w:iCs/>
          <w:lang w:val="hu-HU"/>
        </w:rPr>
        <w:t xml:space="preserve">a </w:t>
      </w:r>
      <w:proofErr w:type="spellStart"/>
      <w:r w:rsidRPr="00443B6F">
        <w:rPr>
          <w:rFonts w:eastAsiaTheme="minorHAnsi"/>
          <w:bCs/>
          <w:iCs/>
          <w:lang w:val="hu-HU"/>
        </w:rPr>
        <w:t>S</w:t>
      </w:r>
      <w:r w:rsidR="00DB7CF2" w:rsidRPr="00443B6F">
        <w:rPr>
          <w:rFonts w:eastAsiaTheme="minorHAnsi"/>
          <w:bCs/>
          <w:iCs/>
          <w:lang w:val="hu-HU"/>
        </w:rPr>
        <w:t>zolvencia</w:t>
      </w:r>
      <w:proofErr w:type="spellEnd"/>
      <w:r w:rsidR="00DB7CF2" w:rsidRPr="00443B6F">
        <w:rPr>
          <w:rFonts w:eastAsiaTheme="minorHAnsi"/>
          <w:bCs/>
          <w:iCs/>
          <w:lang w:val="hu-HU"/>
        </w:rPr>
        <w:t xml:space="preserve"> </w:t>
      </w:r>
      <w:r w:rsidR="003165C9" w:rsidRPr="00443B6F">
        <w:rPr>
          <w:rFonts w:eastAsiaTheme="minorHAnsi"/>
          <w:bCs/>
          <w:iCs/>
          <w:lang w:val="hu-HU"/>
        </w:rPr>
        <w:t>2-ben</w:t>
      </w:r>
      <w:r w:rsidRPr="00443B6F">
        <w:rPr>
          <w:rFonts w:eastAsiaTheme="minorHAnsi"/>
          <w:bCs/>
          <w:iCs/>
          <w:lang w:val="hu-HU"/>
        </w:rPr>
        <w:t xml:space="preserve"> </w:t>
      </w:r>
      <w:r w:rsidR="003165C9" w:rsidRPr="00443B6F">
        <w:rPr>
          <w:rFonts w:eastAsiaTheme="minorHAnsi"/>
          <w:bCs/>
          <w:iCs/>
          <w:lang w:val="hu-HU"/>
        </w:rPr>
        <w:t xml:space="preserve">megjelenő </w:t>
      </w:r>
      <w:proofErr w:type="gramStart"/>
      <w:r w:rsidR="003165C9" w:rsidRPr="00443B6F">
        <w:rPr>
          <w:rFonts w:eastAsiaTheme="minorHAnsi"/>
          <w:bCs/>
          <w:iCs/>
          <w:lang w:val="hu-HU"/>
        </w:rPr>
        <w:t>–</w:t>
      </w:r>
      <w:r w:rsidRPr="00443B6F">
        <w:rPr>
          <w:rFonts w:eastAsiaTheme="minorHAnsi"/>
          <w:bCs/>
          <w:iCs/>
          <w:lang w:val="hu-HU"/>
        </w:rPr>
        <w:t>„</w:t>
      </w:r>
      <w:proofErr w:type="spellStart"/>
      <w:proofErr w:type="gramEnd"/>
      <w:r w:rsidRPr="00443B6F">
        <w:rPr>
          <w:rFonts w:eastAsiaTheme="minorHAnsi"/>
          <w:bCs/>
          <w:iCs/>
          <w:lang w:val="hu-HU"/>
        </w:rPr>
        <w:t>contract</w:t>
      </w:r>
      <w:proofErr w:type="spellEnd"/>
      <w:r w:rsidRPr="00443B6F">
        <w:rPr>
          <w:rFonts w:eastAsiaTheme="minorHAnsi"/>
          <w:bCs/>
          <w:iCs/>
          <w:lang w:val="hu-HU"/>
        </w:rPr>
        <w:t xml:space="preserve"> </w:t>
      </w:r>
      <w:proofErr w:type="spellStart"/>
      <w:r w:rsidRPr="00443B6F">
        <w:rPr>
          <w:rFonts w:eastAsiaTheme="minorHAnsi"/>
          <w:bCs/>
          <w:iCs/>
          <w:lang w:val="hu-HU"/>
        </w:rPr>
        <w:t>boundary</w:t>
      </w:r>
      <w:proofErr w:type="spellEnd"/>
      <w:r w:rsidRPr="00443B6F">
        <w:rPr>
          <w:rFonts w:eastAsiaTheme="minorHAnsi"/>
          <w:bCs/>
          <w:iCs/>
          <w:lang w:val="hu-HU"/>
        </w:rPr>
        <w:t>” elvekhez képest</w:t>
      </w:r>
      <w:r w:rsidR="00D67068" w:rsidRPr="00443B6F">
        <w:rPr>
          <w:rFonts w:eastAsiaTheme="minorHAnsi"/>
          <w:bCs/>
          <w:iCs/>
          <w:lang w:val="hu-HU"/>
        </w:rPr>
        <w:t xml:space="preserve"> ezért mindenképpen javasolt annak áttekintése, </w:t>
      </w:r>
      <w:r w:rsidR="00DA3811" w:rsidRPr="00443B6F">
        <w:rPr>
          <w:rFonts w:eastAsiaTheme="minorHAnsi"/>
          <w:bCs/>
          <w:iCs/>
          <w:lang w:val="hu-HU"/>
        </w:rPr>
        <w:t xml:space="preserve">hogy </w:t>
      </w:r>
      <w:r w:rsidR="00D67068" w:rsidRPr="00443B6F">
        <w:rPr>
          <w:rFonts w:eastAsiaTheme="minorHAnsi"/>
          <w:bCs/>
          <w:iCs/>
          <w:lang w:val="hu-HU"/>
        </w:rPr>
        <w:t>mely elemek kezelése tér majd el egymástól a társaság szerződéseinek vonatkozásában</w:t>
      </w:r>
      <w:r w:rsidRPr="00443B6F">
        <w:rPr>
          <w:rFonts w:eastAsiaTheme="minorHAnsi"/>
          <w:bCs/>
          <w:iCs/>
          <w:lang w:val="hu-HU"/>
        </w:rPr>
        <w:t xml:space="preserve">. </w:t>
      </w:r>
      <w:r w:rsidR="00DA3811" w:rsidRPr="00443B6F">
        <w:rPr>
          <w:rFonts w:eastAsiaTheme="minorHAnsi"/>
          <w:bCs/>
          <w:iCs/>
          <w:lang w:val="hu-HU"/>
        </w:rPr>
        <w:t xml:space="preserve">Fontos különbség még a szerződés határok szempontjából a két szabvány között az, hogy míg a </w:t>
      </w:r>
      <w:proofErr w:type="spellStart"/>
      <w:r w:rsidR="00DA3811" w:rsidRPr="00443B6F">
        <w:rPr>
          <w:rFonts w:eastAsiaTheme="minorHAnsi"/>
          <w:bCs/>
          <w:iCs/>
          <w:lang w:val="hu-HU"/>
        </w:rPr>
        <w:t>Szolvencia</w:t>
      </w:r>
      <w:proofErr w:type="spellEnd"/>
      <w:r w:rsidR="00DA3811" w:rsidRPr="00443B6F">
        <w:rPr>
          <w:rFonts w:eastAsiaTheme="minorHAnsi"/>
          <w:bCs/>
          <w:iCs/>
          <w:lang w:val="hu-HU"/>
        </w:rPr>
        <w:t xml:space="preserve"> 2-ben szigorú szétválasztási</w:t>
      </w:r>
      <w:r w:rsidR="00DA3811" w:rsidRPr="00443B6F">
        <w:rPr>
          <w:rFonts w:eastAsiaTheme="minorHAnsi"/>
          <w:color w:val="0000FF"/>
          <w:sz w:val="16"/>
          <w:szCs w:val="16"/>
          <w:lang w:val="hu-HU"/>
        </w:rPr>
        <w:footnoteReference w:id="10"/>
      </w:r>
      <w:r w:rsidR="00DA3811" w:rsidRPr="00443B6F">
        <w:rPr>
          <w:rFonts w:eastAsiaTheme="minorHAnsi"/>
          <w:bCs/>
          <w:iCs/>
          <w:color w:val="0000FF"/>
          <w:lang w:val="hu-HU"/>
        </w:rPr>
        <w:t xml:space="preserve"> </w:t>
      </w:r>
      <w:r w:rsidR="00DA3811" w:rsidRPr="00443B6F">
        <w:rPr>
          <w:rFonts w:eastAsiaTheme="minorHAnsi"/>
          <w:bCs/>
          <w:iCs/>
          <w:lang w:val="hu-HU"/>
        </w:rPr>
        <w:t>(</w:t>
      </w:r>
      <w:proofErr w:type="spellStart"/>
      <w:r w:rsidR="00DA3811" w:rsidRPr="00443B6F">
        <w:rPr>
          <w:rFonts w:eastAsiaTheme="minorHAnsi"/>
          <w:bCs/>
          <w:iCs/>
          <w:lang w:val="hu-HU"/>
        </w:rPr>
        <w:t>unbundling</w:t>
      </w:r>
      <w:proofErr w:type="spellEnd"/>
      <w:r w:rsidR="00DA3811" w:rsidRPr="00443B6F">
        <w:rPr>
          <w:rFonts w:eastAsiaTheme="minorHAnsi"/>
          <w:bCs/>
          <w:iCs/>
          <w:lang w:val="hu-HU"/>
        </w:rPr>
        <w:t>) követelmények vannak, az IFRS 17 nem követeli (és bizonyos mérvadó vélemények szerint</w:t>
      </w:r>
      <w:r w:rsidR="00DA3811" w:rsidRPr="00443B6F">
        <w:rPr>
          <w:rFonts w:eastAsiaTheme="minorHAnsi"/>
          <w:color w:val="0000FF"/>
          <w:sz w:val="16"/>
          <w:szCs w:val="16"/>
          <w:lang w:val="hu-HU"/>
        </w:rPr>
        <w:footnoteReference w:id="11"/>
      </w:r>
      <w:r w:rsidR="00DA3811" w:rsidRPr="00443B6F">
        <w:rPr>
          <w:rFonts w:eastAsiaTheme="minorHAnsi"/>
          <w:bCs/>
          <w:iCs/>
          <w:lang w:val="hu-HU"/>
        </w:rPr>
        <w:t xml:space="preserve"> nem is engedi) meg az esetleges nem biztosítási komponensek leválasztása után megmaradó biztosítási szerződés biztosítási komponensekre történő szétválasztását.</w:t>
      </w:r>
    </w:p>
    <w:p w14:paraId="25E155D9" w14:textId="47B5678A" w:rsidR="005F3D44" w:rsidRDefault="005F3D44">
      <w:pPr>
        <w:spacing w:after="200" w:line="276" w:lineRule="auto"/>
        <w:ind w:firstLine="0"/>
        <w:rPr>
          <w:rFonts w:eastAsiaTheme="minorHAnsi"/>
          <w:bCs/>
          <w:i/>
          <w:lang w:val="hu-HU"/>
        </w:rPr>
      </w:pPr>
    </w:p>
    <w:p w14:paraId="4E0FE3A5" w14:textId="133CFDCD" w:rsidR="00C04294" w:rsidRPr="00443B6F" w:rsidRDefault="00C04294" w:rsidP="00C04294">
      <w:pPr>
        <w:spacing w:after="120" w:line="276" w:lineRule="auto"/>
        <w:ind w:firstLine="0"/>
        <w:rPr>
          <w:rFonts w:eastAsiaTheme="minorHAnsi"/>
          <w:bCs/>
          <w:i/>
          <w:lang w:val="hu-HU"/>
        </w:rPr>
      </w:pPr>
      <w:r w:rsidRPr="00443B6F">
        <w:rPr>
          <w:rFonts w:eastAsiaTheme="minorHAnsi"/>
          <w:bCs/>
          <w:i/>
          <w:lang w:val="hu-HU"/>
        </w:rPr>
        <w:t>Szerződések határihoz a következő 2020 júniusában elfogadott módosítások tartoznak:</w:t>
      </w:r>
    </w:p>
    <w:p w14:paraId="0CF8AE4C" w14:textId="15A3BA78" w:rsidR="005D4400" w:rsidRPr="00443B6F" w:rsidRDefault="00C04294">
      <w:pPr>
        <w:spacing w:after="200" w:line="276" w:lineRule="auto"/>
        <w:ind w:firstLine="0"/>
        <w:rPr>
          <w:rFonts w:eastAsiaTheme="minorHAnsi"/>
          <w:bCs/>
          <w:i/>
          <w:color w:val="0000FF"/>
          <w:lang w:val="hu-HU"/>
        </w:rPr>
      </w:pPr>
      <w:r w:rsidRPr="00443B6F">
        <w:rPr>
          <w:rFonts w:eastAsiaTheme="minorHAnsi"/>
          <w:bCs/>
          <w:i/>
          <w:color w:val="0000FF"/>
          <w:lang w:val="hu-HU"/>
        </w:rPr>
        <w:t>B65 (</w:t>
      </w:r>
      <w:proofErr w:type="spellStart"/>
      <w:r w:rsidRPr="00443B6F">
        <w:rPr>
          <w:rFonts w:eastAsiaTheme="minorHAnsi"/>
          <w:bCs/>
          <w:i/>
          <w:color w:val="0000FF"/>
          <w:lang w:val="hu-HU"/>
        </w:rPr>
        <w:t>ka</w:t>
      </w:r>
      <w:proofErr w:type="spellEnd"/>
      <w:r w:rsidRPr="00443B6F">
        <w:rPr>
          <w:rFonts w:eastAsiaTheme="minorHAnsi"/>
          <w:bCs/>
          <w:i/>
          <w:color w:val="0000FF"/>
          <w:lang w:val="hu-HU"/>
        </w:rPr>
        <w:t>). A szerződés határain belül lévő pénzáramok magukban foglalják azon - a társaság életében várhatóan bekövetkező - költségeket, melyek</w:t>
      </w:r>
    </w:p>
    <w:p w14:paraId="056FBA49" w14:textId="77777777" w:rsidR="001970DB" w:rsidRDefault="001970DB">
      <w:pPr>
        <w:spacing w:after="200" w:line="276" w:lineRule="auto"/>
        <w:ind w:firstLine="0"/>
        <w:rPr>
          <w:rFonts w:eastAsiaTheme="minorHAnsi"/>
          <w:bCs/>
          <w:i/>
          <w:color w:val="0000FF"/>
          <w:lang w:val="hu-HU"/>
        </w:rPr>
      </w:pPr>
      <w:r>
        <w:rPr>
          <w:rFonts w:eastAsiaTheme="minorHAnsi"/>
          <w:bCs/>
          <w:i/>
          <w:color w:val="0000FF"/>
          <w:lang w:val="hu-HU"/>
        </w:rPr>
        <w:br w:type="page"/>
      </w:r>
    </w:p>
    <w:p w14:paraId="45355A78" w14:textId="1551FD51" w:rsidR="00C04294" w:rsidRPr="00443B6F" w:rsidRDefault="00C04294" w:rsidP="001F548D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/>
          <w:color w:val="0000FF"/>
          <w:lang w:val="hu-HU"/>
        </w:rPr>
      </w:pPr>
      <w:r w:rsidRPr="00443B6F">
        <w:rPr>
          <w:rFonts w:eastAsiaTheme="minorHAnsi"/>
          <w:bCs/>
          <w:i/>
          <w:color w:val="0000FF"/>
          <w:lang w:val="hu-HU"/>
        </w:rPr>
        <w:lastRenderedPageBreak/>
        <w:t>olyan - a kötvénytulajdonosok érdekében folytatott - befektetési tevékenység miatt keletkez</w:t>
      </w:r>
      <w:r w:rsidR="00070B8B" w:rsidRPr="00443B6F">
        <w:rPr>
          <w:rFonts w:eastAsiaTheme="minorHAnsi"/>
          <w:bCs/>
          <w:i/>
          <w:color w:val="0000FF"/>
          <w:lang w:val="hu-HU"/>
        </w:rPr>
        <w:t>nek</w:t>
      </w:r>
      <w:r w:rsidRPr="00443B6F">
        <w:rPr>
          <w:rFonts w:eastAsiaTheme="minorHAnsi"/>
          <w:bCs/>
          <w:i/>
          <w:color w:val="0000FF"/>
          <w:lang w:val="hu-HU"/>
        </w:rPr>
        <w:t>, mely</w:t>
      </w:r>
      <w:r w:rsidR="00070B8B" w:rsidRPr="00443B6F">
        <w:rPr>
          <w:rFonts w:eastAsiaTheme="minorHAnsi"/>
          <w:bCs/>
          <w:i/>
          <w:color w:val="0000FF"/>
          <w:lang w:val="hu-HU"/>
        </w:rPr>
        <w:t>et</w:t>
      </w:r>
      <w:r w:rsidRPr="00443B6F">
        <w:rPr>
          <w:rFonts w:eastAsiaTheme="minorHAnsi"/>
          <w:bCs/>
          <w:i/>
          <w:color w:val="0000FF"/>
          <w:lang w:val="hu-HU"/>
        </w:rPr>
        <w:t xml:space="preserve"> a társaság a biztosítási szerződésből származó előnyök fokozása érdekében végez. </w:t>
      </w:r>
      <w:r w:rsidR="00927D9D" w:rsidRPr="00443B6F">
        <w:rPr>
          <w:rFonts w:eastAsiaTheme="minorHAnsi"/>
          <w:bCs/>
          <w:i/>
          <w:color w:val="0000FF"/>
          <w:lang w:val="hu-HU"/>
        </w:rPr>
        <w:t>Azon</w:t>
      </w:r>
      <w:r w:rsidRPr="00443B6F">
        <w:rPr>
          <w:rFonts w:eastAsiaTheme="minorHAnsi"/>
          <w:bCs/>
          <w:i/>
          <w:color w:val="0000FF"/>
          <w:lang w:val="hu-HU"/>
        </w:rPr>
        <w:t xml:space="preserve"> befektetési tevékenységek növelik a biztosítási szerződésből származó előnyöket, melyek várhatóan befektetési hozamot generálnak, és amelyből a kötvénytulajdonosok részesülhetnek,</w:t>
      </w:r>
    </w:p>
    <w:p w14:paraId="562AD728" w14:textId="2D6B1EF7" w:rsidR="00C04294" w:rsidRPr="00443B6F" w:rsidRDefault="00C04294" w:rsidP="00C04294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/>
          <w:color w:val="0000FF"/>
          <w:lang w:val="hu-HU"/>
        </w:rPr>
      </w:pPr>
      <w:r w:rsidRPr="00443B6F">
        <w:rPr>
          <w:rFonts w:eastAsiaTheme="minorHAnsi"/>
          <w:bCs/>
          <w:i/>
          <w:color w:val="0000FF"/>
          <w:lang w:val="hu-HU"/>
        </w:rPr>
        <w:t>Közvetlen nyereségrészesedéses biztosítási szerződések érdekében végzett befektetési tevékenységhez kapcsolód</w:t>
      </w:r>
      <w:r w:rsidR="00070B8B" w:rsidRPr="00443B6F">
        <w:rPr>
          <w:rFonts w:eastAsiaTheme="minorHAnsi"/>
          <w:bCs/>
          <w:i/>
          <w:color w:val="0000FF"/>
          <w:lang w:val="hu-HU"/>
        </w:rPr>
        <w:t>nak,</w:t>
      </w:r>
    </w:p>
    <w:p w14:paraId="26440693" w14:textId="2ECA9962" w:rsidR="00C04294" w:rsidRPr="00443B6F" w:rsidRDefault="00C04294" w:rsidP="00C04294">
      <w:pPr>
        <w:pStyle w:val="ListParagraph"/>
        <w:numPr>
          <w:ilvl w:val="0"/>
          <w:numId w:val="40"/>
        </w:numPr>
        <w:spacing w:after="200" w:line="276" w:lineRule="auto"/>
        <w:rPr>
          <w:rFonts w:eastAsiaTheme="minorHAnsi"/>
          <w:bCs/>
          <w:i/>
          <w:color w:val="0000FF"/>
          <w:lang w:val="hu-HU"/>
        </w:rPr>
      </w:pPr>
      <w:r w:rsidRPr="00443B6F">
        <w:rPr>
          <w:rFonts w:eastAsiaTheme="minorHAnsi"/>
          <w:bCs/>
          <w:i/>
          <w:color w:val="0000FF"/>
          <w:lang w:val="hu-HU"/>
        </w:rPr>
        <w:t>Közvetett nyereségrészesedéses biztosítási szerződések érdekében végzett befektetési tevékenységhez kapcsolód</w:t>
      </w:r>
      <w:r w:rsidR="00070B8B" w:rsidRPr="00443B6F">
        <w:rPr>
          <w:rFonts w:eastAsiaTheme="minorHAnsi"/>
          <w:bCs/>
          <w:i/>
          <w:color w:val="0000FF"/>
          <w:lang w:val="hu-HU"/>
        </w:rPr>
        <w:t>nak.</w:t>
      </w:r>
    </w:p>
    <w:p w14:paraId="0463C119" w14:textId="16824181" w:rsidR="00C04294" w:rsidRPr="00443B6F" w:rsidRDefault="00C04294">
      <w:pPr>
        <w:spacing w:after="200" w:line="276" w:lineRule="auto"/>
        <w:ind w:firstLine="0"/>
        <w:rPr>
          <w:rFonts w:eastAsiaTheme="minorHAnsi"/>
          <w:bCs/>
          <w:i/>
          <w:color w:val="0000FF"/>
          <w:lang w:val="hu-HU"/>
        </w:rPr>
      </w:pPr>
      <w:r w:rsidRPr="00443B6F">
        <w:rPr>
          <w:rFonts w:eastAsiaTheme="minorHAnsi"/>
          <w:bCs/>
          <w:i/>
          <w:color w:val="0000FF"/>
          <w:lang w:val="hu-HU"/>
        </w:rPr>
        <w:t xml:space="preserve">B66 (A).  </w:t>
      </w:r>
      <w:r w:rsidR="00070B8B" w:rsidRPr="00443B6F">
        <w:rPr>
          <w:rFonts w:eastAsiaTheme="minorHAnsi" w:cstheme="minorHAnsi"/>
          <w:color w:val="548DD4" w:themeColor="text2" w:themeTint="99"/>
          <w:lang w:val="hu-HU"/>
        </w:rPr>
        <w:t>A biztosítási szerződések csoportjának</w:t>
      </w:r>
      <w:r w:rsidR="00070B8B" w:rsidRPr="00443B6F">
        <w:rPr>
          <w:rFonts w:eastAsiaTheme="minorHAnsi"/>
          <w:bCs/>
          <w:i/>
          <w:color w:val="0000FF"/>
          <w:lang w:val="hu-HU"/>
        </w:rPr>
        <w:t xml:space="preserve"> megjelenítése </w:t>
      </w:r>
      <w:r w:rsidR="00927D9D" w:rsidRPr="00443B6F">
        <w:rPr>
          <w:rFonts w:eastAsiaTheme="minorHAnsi"/>
          <w:bCs/>
          <w:i/>
          <w:color w:val="0000FF"/>
          <w:lang w:val="hu-HU"/>
        </w:rPr>
        <w:t>előtt előfordulhat, hogy azok pénzáramaihoz kötődően a társaság bizonyos (nem szerzési költségekhez kötődő) eszköz</w:t>
      </w:r>
      <w:r w:rsidR="00F15FDD" w:rsidRPr="00443B6F">
        <w:rPr>
          <w:rFonts w:eastAsiaTheme="minorHAnsi"/>
          <w:bCs/>
          <w:i/>
          <w:color w:val="0000FF"/>
          <w:lang w:val="hu-HU"/>
        </w:rPr>
        <w:t>öke</w:t>
      </w:r>
      <w:r w:rsidR="00927D9D" w:rsidRPr="00443B6F">
        <w:rPr>
          <w:rFonts w:eastAsiaTheme="minorHAnsi"/>
          <w:bCs/>
          <w:i/>
          <w:color w:val="0000FF"/>
          <w:lang w:val="hu-HU"/>
        </w:rPr>
        <w:t>t vagy forrás</w:t>
      </w:r>
      <w:r w:rsidR="00F15FDD" w:rsidRPr="00443B6F">
        <w:rPr>
          <w:rFonts w:eastAsiaTheme="minorHAnsi"/>
          <w:bCs/>
          <w:i/>
          <w:color w:val="0000FF"/>
          <w:lang w:val="hu-HU"/>
        </w:rPr>
        <w:t>sokat mutat be. A 38. bekezdés c) pontjának ii. alpontjával összhangban azonban ezeket az eszközöket forrásokat ki kell vezetni.</w:t>
      </w:r>
      <w:r w:rsidRPr="00443B6F">
        <w:rPr>
          <w:rFonts w:eastAsiaTheme="minorHAnsi"/>
          <w:bCs/>
          <w:iCs/>
          <w:lang w:val="hu-HU"/>
        </w:rPr>
        <w:br w:type="page"/>
      </w:r>
    </w:p>
    <w:p w14:paraId="1C493885" w14:textId="2B32927E" w:rsidR="005D4400" w:rsidRPr="00443B6F" w:rsidRDefault="005D4400" w:rsidP="005D4400">
      <w:pPr>
        <w:pStyle w:val="Heading2"/>
        <w:numPr>
          <w:ilvl w:val="0"/>
          <w:numId w:val="24"/>
        </w:numPr>
        <w:spacing w:before="240" w:after="240" w:line="276" w:lineRule="auto"/>
        <w:ind w:left="0" w:firstLine="0"/>
        <w:rPr>
          <w:bCs w:val="0"/>
          <w:color w:val="365F91" w:themeColor="accent1" w:themeShade="BF"/>
          <w:sz w:val="28"/>
          <w:lang w:val="hu-HU"/>
        </w:rPr>
      </w:pPr>
      <w:bookmarkStart w:id="11" w:name="_Toc91191788"/>
      <w:r w:rsidRPr="00443B6F">
        <w:rPr>
          <w:bCs w:val="0"/>
          <w:color w:val="365F91" w:themeColor="accent1" w:themeShade="BF"/>
          <w:sz w:val="28"/>
          <w:lang w:val="hu-HU"/>
        </w:rPr>
        <w:lastRenderedPageBreak/>
        <w:t>A szabvány fejezeteinek, témaköreinek javasolt felosztása, a feldolgozás rendszerezése</w:t>
      </w:r>
      <w:bookmarkEnd w:id="11"/>
    </w:p>
    <w:p w14:paraId="65CF31D8" w14:textId="77777777" w:rsidR="0058789E" w:rsidRDefault="0058789E" w:rsidP="005D440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28B30239" w14:textId="1DAECD4E" w:rsidR="0058789E" w:rsidRDefault="0058789E" w:rsidP="005D4400">
      <w:pPr>
        <w:spacing w:after="120" w:line="276" w:lineRule="auto"/>
        <w:ind w:firstLine="0"/>
        <w:rPr>
          <w:lang w:val="hu-HU"/>
        </w:rPr>
      </w:pPr>
      <w:r>
        <w:rPr>
          <w:lang w:val="hu-HU"/>
        </w:rPr>
        <w:t>A</w:t>
      </w:r>
      <w:r w:rsidRPr="00F461E6">
        <w:rPr>
          <w:lang w:val="hu-HU"/>
        </w:rPr>
        <w:t xml:space="preserve"> fejezet tartalmazza, milyen további témaköröket </w:t>
      </w:r>
      <w:proofErr w:type="spellStart"/>
      <w:r w:rsidRPr="00F461E6">
        <w:rPr>
          <w:lang w:val="hu-HU"/>
        </w:rPr>
        <w:t>dolgoz</w:t>
      </w:r>
      <w:proofErr w:type="spellEnd"/>
      <w:r w:rsidRPr="00F461E6">
        <w:rPr>
          <w:lang w:val="hu-HU"/>
        </w:rPr>
        <w:t xml:space="preserve"> majd fel a dokumentum</w:t>
      </w:r>
      <w:r w:rsidR="00AC1BAB">
        <w:rPr>
          <w:lang w:val="hu-HU"/>
        </w:rPr>
        <w:t xml:space="preserve"> a jövőben</w:t>
      </w:r>
      <w:r>
        <w:rPr>
          <w:lang w:val="hu-HU"/>
        </w:rPr>
        <w:t>. Ezekkel a témakörökkel fokozatosan, a következő kiadások során bővül majd. A fejezet célja, hogy az olvasó tájékozódhasson a tervezett struktúráról és témakörökről.</w:t>
      </w:r>
    </w:p>
    <w:p w14:paraId="0DEF82A7" w14:textId="5A530AB3" w:rsidR="0058789E" w:rsidRDefault="0058789E" w:rsidP="005D440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15645C7F" w14:textId="77777777" w:rsidR="00B47BBD" w:rsidRPr="00144F80" w:rsidRDefault="00B47BBD" w:rsidP="00B47BBD">
      <w:pPr>
        <w:pStyle w:val="PlainText"/>
        <w:numPr>
          <w:ilvl w:val="0"/>
          <w:numId w:val="43"/>
        </w:numPr>
        <w:rPr>
          <w:b/>
          <w:bCs/>
          <w:lang w:val="hu-HU"/>
        </w:rPr>
      </w:pPr>
      <w:r w:rsidRPr="00144F80">
        <w:rPr>
          <w:b/>
          <w:bCs/>
          <w:lang w:val="hu-HU"/>
        </w:rPr>
        <w:t>Első megjelenítés, követő értékelés, az elszámolási egység</w:t>
      </w:r>
    </w:p>
    <w:p w14:paraId="463D3D7E" w14:textId="77777777" w:rsidR="00B47BBD" w:rsidRPr="00217060" w:rsidRDefault="00B47BBD" w:rsidP="00B47BBD">
      <w:pPr>
        <w:pStyle w:val="PlainText"/>
        <w:ind w:left="720"/>
        <w:rPr>
          <w:lang w:val="hu-HU"/>
        </w:rPr>
      </w:pPr>
      <w:r w:rsidRPr="00217060">
        <w:rPr>
          <w:lang w:val="hu-HU"/>
        </w:rPr>
        <w:t>Az első megjelenítés és követő értékelés szabályai. Mit tekintünk együtt értékelendő szerződések csoportjának? Nyereséges és veszteséges biztosítási szerződések csoportjának kezelése.</w:t>
      </w:r>
    </w:p>
    <w:p w14:paraId="366CDDF2" w14:textId="77777777" w:rsidR="00B47BBD" w:rsidRPr="00217060" w:rsidRDefault="00B47BBD" w:rsidP="00B47BBD">
      <w:pPr>
        <w:pStyle w:val="PlainText"/>
        <w:rPr>
          <w:lang w:val="hu-HU"/>
        </w:rPr>
      </w:pPr>
    </w:p>
    <w:p w14:paraId="098B5838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Általános mérési modell (GMM)</w:t>
      </w:r>
    </w:p>
    <w:p w14:paraId="41C424E0" w14:textId="77777777" w:rsidR="00B47BBD" w:rsidRPr="00217060" w:rsidRDefault="00B47BBD" w:rsidP="00B47BBD">
      <w:pPr>
        <w:pStyle w:val="CommentText"/>
        <w:ind w:left="720"/>
        <w:rPr>
          <w:sz w:val="22"/>
          <w:szCs w:val="22"/>
          <w:lang w:val="hu-HU"/>
        </w:rPr>
      </w:pPr>
      <w:r w:rsidRPr="00217060">
        <w:rPr>
          <w:sz w:val="22"/>
          <w:szCs w:val="22"/>
          <w:lang w:val="hu-HU"/>
        </w:rPr>
        <w:t>Az ’építőkövek’, azaz az értékelés elemei (lásd alább a-d), valamint gyakorlati modellezési kérdések és számpélda</w:t>
      </w:r>
    </w:p>
    <w:p w14:paraId="1CC7789F" w14:textId="6EA1BEDB" w:rsidR="00B47BBD" w:rsidRPr="00217060" w:rsidRDefault="00B47BBD" w:rsidP="00B47BBD">
      <w:pPr>
        <w:pStyle w:val="CommentText"/>
        <w:numPr>
          <w:ilvl w:val="1"/>
          <w:numId w:val="43"/>
        </w:numPr>
        <w:rPr>
          <w:sz w:val="22"/>
          <w:szCs w:val="22"/>
          <w:lang w:val="hu-HU"/>
        </w:rPr>
      </w:pPr>
      <w:r w:rsidRPr="00217060">
        <w:rPr>
          <w:sz w:val="22"/>
          <w:szCs w:val="22"/>
          <w:lang w:val="hu-HU"/>
        </w:rPr>
        <w:t>Jövőbeli pénzáramok</w:t>
      </w:r>
    </w:p>
    <w:p w14:paraId="2B6B3E09" w14:textId="77777777" w:rsidR="00B47BBD" w:rsidRPr="00217060" w:rsidRDefault="00B47BBD" w:rsidP="00B47BBD">
      <w:pPr>
        <w:pStyle w:val="CommentText"/>
        <w:numPr>
          <w:ilvl w:val="1"/>
          <w:numId w:val="43"/>
        </w:numPr>
        <w:rPr>
          <w:sz w:val="22"/>
          <w:szCs w:val="22"/>
          <w:lang w:val="hu-HU"/>
        </w:rPr>
      </w:pPr>
      <w:r w:rsidRPr="00217060">
        <w:rPr>
          <w:sz w:val="22"/>
          <w:szCs w:val="22"/>
          <w:lang w:val="hu-HU"/>
        </w:rPr>
        <w:t>Diszkont ráta</w:t>
      </w:r>
    </w:p>
    <w:p w14:paraId="4C37A3AE" w14:textId="6AC1D046" w:rsidR="00B47BBD" w:rsidRPr="00DA75AA" w:rsidRDefault="00B47BBD" w:rsidP="00B47BBD">
      <w:pPr>
        <w:pStyle w:val="CommentText"/>
        <w:numPr>
          <w:ilvl w:val="1"/>
          <w:numId w:val="43"/>
        </w:numPr>
        <w:rPr>
          <w:sz w:val="22"/>
          <w:szCs w:val="22"/>
          <w:lang w:val="hu-HU"/>
        </w:rPr>
      </w:pPr>
      <w:r w:rsidRPr="00DA75AA">
        <w:rPr>
          <w:rStyle w:val="ElnevezsChar"/>
          <w:sz w:val="22"/>
          <w:szCs w:val="22"/>
          <w:lang w:val="hu-HU"/>
        </w:rPr>
        <w:t>Nem pénzügyi kockázatok kockázati kiigazítás</w:t>
      </w:r>
      <w:r w:rsidR="00D4193F" w:rsidRPr="00DA75AA">
        <w:rPr>
          <w:rStyle w:val="ElnevezsChar"/>
          <w:sz w:val="22"/>
          <w:szCs w:val="22"/>
          <w:lang w:val="hu-HU"/>
        </w:rPr>
        <w:t>a</w:t>
      </w:r>
    </w:p>
    <w:p w14:paraId="0D8F1DD6" w14:textId="77777777" w:rsidR="00B47BBD" w:rsidRPr="00DA75AA" w:rsidRDefault="00B47BBD" w:rsidP="00B47BBD">
      <w:pPr>
        <w:pStyle w:val="CommentText"/>
        <w:numPr>
          <w:ilvl w:val="1"/>
          <w:numId w:val="43"/>
        </w:numPr>
        <w:rPr>
          <w:sz w:val="22"/>
          <w:szCs w:val="22"/>
          <w:lang w:val="hu-HU"/>
        </w:rPr>
      </w:pPr>
      <w:r w:rsidRPr="00DA75AA">
        <w:rPr>
          <w:rStyle w:val="ElnevezsChar"/>
          <w:sz w:val="22"/>
          <w:szCs w:val="22"/>
          <w:lang w:val="hu-HU"/>
        </w:rPr>
        <w:t>Szerződéses szolgáltatási többlet</w:t>
      </w:r>
      <w:r w:rsidRPr="00DA75AA">
        <w:rPr>
          <w:sz w:val="22"/>
          <w:szCs w:val="22"/>
          <w:lang w:val="hu-HU"/>
        </w:rPr>
        <w:t xml:space="preserve"> (CSM) és </w:t>
      </w:r>
      <w:r w:rsidRPr="00DA75AA">
        <w:rPr>
          <w:rStyle w:val="ElnevezsChar"/>
          <w:sz w:val="22"/>
          <w:szCs w:val="22"/>
          <w:lang w:val="hu-HU"/>
        </w:rPr>
        <w:t>veszteség komponens</w:t>
      </w:r>
      <w:r w:rsidRPr="00DA75AA">
        <w:rPr>
          <w:sz w:val="22"/>
          <w:szCs w:val="22"/>
          <w:lang w:val="hu-HU"/>
        </w:rPr>
        <w:t xml:space="preserve"> (LC)</w:t>
      </w:r>
    </w:p>
    <w:p w14:paraId="46784321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0EB41F29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Változó elvonásos modell (VFA)</w:t>
      </w:r>
    </w:p>
    <w:p w14:paraId="2F1C1707" w14:textId="77777777" w:rsidR="00B47BBD" w:rsidRPr="00217060" w:rsidRDefault="00B47BBD" w:rsidP="00B47BBD">
      <w:pPr>
        <w:pStyle w:val="CommentText"/>
        <w:ind w:left="720" w:firstLine="0"/>
        <w:rPr>
          <w:sz w:val="22"/>
          <w:szCs w:val="22"/>
          <w:lang w:val="hu-HU"/>
        </w:rPr>
      </w:pPr>
      <w:r w:rsidRPr="00217060">
        <w:rPr>
          <w:sz w:val="22"/>
          <w:szCs w:val="22"/>
          <w:lang w:val="hu-HU"/>
        </w:rPr>
        <w:t xml:space="preserve">Melyek a </w:t>
      </w:r>
      <w:r w:rsidRPr="00DA75AA">
        <w:rPr>
          <w:rStyle w:val="ElnevezsChar"/>
          <w:sz w:val="22"/>
          <w:szCs w:val="22"/>
          <w:lang w:val="hu-HU"/>
        </w:rPr>
        <w:t>közvetlen nyereségrészesedéses szerződés</w:t>
      </w:r>
      <w:r w:rsidRPr="00217060">
        <w:rPr>
          <w:sz w:val="22"/>
          <w:szCs w:val="22"/>
          <w:lang w:val="hu-HU"/>
        </w:rPr>
        <w:t>ek, a modell sajátosságai az általános mérési modellhez képest, gyakorlati modellezési kérdések és számpélda</w:t>
      </w:r>
    </w:p>
    <w:p w14:paraId="63AC24AF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5E082FCE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Díjfelosztású megközelítés (PAA)</w:t>
      </w:r>
    </w:p>
    <w:p w14:paraId="7B1ED0B1" w14:textId="77777777" w:rsidR="00B47BBD" w:rsidRPr="00217060" w:rsidRDefault="00B47BBD" w:rsidP="00B47BBD">
      <w:pPr>
        <w:pStyle w:val="CommentText"/>
        <w:ind w:left="360"/>
        <w:rPr>
          <w:sz w:val="22"/>
          <w:szCs w:val="22"/>
          <w:lang w:val="hu-HU"/>
        </w:rPr>
      </w:pPr>
      <w:r w:rsidRPr="00217060">
        <w:rPr>
          <w:sz w:val="22"/>
          <w:szCs w:val="22"/>
          <w:lang w:val="hu-HU"/>
        </w:rPr>
        <w:t>A modell sajátosságai, számpéldával szemléltetve</w:t>
      </w:r>
    </w:p>
    <w:p w14:paraId="683914DA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70E1E774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Viszontbiztosítási szerződések</w:t>
      </w:r>
    </w:p>
    <w:p w14:paraId="25793B70" w14:textId="77777777" w:rsidR="00B47BBD" w:rsidRPr="00217060" w:rsidRDefault="00B47BBD" w:rsidP="00B47BBD">
      <w:pPr>
        <w:pStyle w:val="CommentText"/>
        <w:ind w:left="360"/>
        <w:rPr>
          <w:sz w:val="22"/>
          <w:szCs w:val="22"/>
          <w:lang w:val="hu-HU"/>
        </w:rPr>
      </w:pPr>
      <w:r w:rsidRPr="00217060">
        <w:rPr>
          <w:sz w:val="22"/>
          <w:szCs w:val="22"/>
          <w:lang w:val="hu-HU"/>
        </w:rPr>
        <w:t>Különleges szabályok, gyakorlati modellezési kérdések és számpélda</w:t>
      </w:r>
    </w:p>
    <w:p w14:paraId="36E9F98D" w14:textId="77777777" w:rsidR="00B47BBD" w:rsidRPr="00217060" w:rsidRDefault="00B47BBD" w:rsidP="00B47BBD">
      <w:pPr>
        <w:rPr>
          <w:lang w:val="hu-HU"/>
        </w:rPr>
      </w:pPr>
    </w:p>
    <w:p w14:paraId="49176319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Egyéb speciális esetek</w:t>
      </w:r>
    </w:p>
    <w:p w14:paraId="21419DDC" w14:textId="4F2D29AE" w:rsidR="00B47BBD" w:rsidRPr="00217060" w:rsidRDefault="00B47BBD" w:rsidP="00CA410E">
      <w:pPr>
        <w:pStyle w:val="CommentText"/>
        <w:ind w:left="720" w:firstLine="0"/>
        <w:rPr>
          <w:sz w:val="22"/>
          <w:szCs w:val="22"/>
          <w:lang w:val="hu-HU"/>
        </w:rPr>
      </w:pPr>
      <w:r>
        <w:rPr>
          <w:sz w:val="22"/>
          <w:szCs w:val="22"/>
          <w:lang w:val="hu-HU"/>
        </w:rPr>
        <w:t>’</w:t>
      </w:r>
      <w:proofErr w:type="spellStart"/>
      <w:r w:rsidRPr="00217060">
        <w:rPr>
          <w:sz w:val="22"/>
          <w:szCs w:val="22"/>
          <w:lang w:val="hu-HU"/>
        </w:rPr>
        <w:t>Mutua</w:t>
      </w:r>
      <w:r>
        <w:rPr>
          <w:sz w:val="22"/>
          <w:szCs w:val="22"/>
          <w:lang w:val="hu-HU"/>
        </w:rPr>
        <w:t>li</w:t>
      </w:r>
      <w:r w:rsidRPr="00217060">
        <w:rPr>
          <w:sz w:val="22"/>
          <w:szCs w:val="22"/>
          <w:lang w:val="hu-HU"/>
        </w:rPr>
        <w:t>zation</w:t>
      </w:r>
      <w:proofErr w:type="spellEnd"/>
      <w:r>
        <w:rPr>
          <w:sz w:val="22"/>
          <w:szCs w:val="22"/>
          <w:lang w:val="hu-HU"/>
        </w:rPr>
        <w:t>’</w:t>
      </w:r>
      <w:r w:rsidRPr="00217060">
        <w:rPr>
          <w:sz w:val="22"/>
          <w:szCs w:val="22"/>
          <w:lang w:val="hu-HU"/>
        </w:rPr>
        <w:t xml:space="preserve">, </w:t>
      </w:r>
      <w:r w:rsidRPr="00CA410E">
        <w:rPr>
          <w:sz w:val="22"/>
          <w:szCs w:val="22"/>
          <w:lang w:val="hu-HU"/>
        </w:rPr>
        <w:t xml:space="preserve">felvásárlások és összeolvadások, </w:t>
      </w:r>
      <w:r w:rsidRPr="00CA410E">
        <w:rPr>
          <w:rStyle w:val="ElnevezsChar"/>
          <w:sz w:val="22"/>
          <w:szCs w:val="22"/>
          <w:lang w:val="hu-HU"/>
        </w:rPr>
        <w:t>diszkrecionális nyereségrészesedést tartalmazó befektetési szerződések</w:t>
      </w:r>
      <w:r w:rsidRPr="00CA410E">
        <w:rPr>
          <w:sz w:val="22"/>
          <w:szCs w:val="22"/>
          <w:lang w:val="hu-HU"/>
        </w:rPr>
        <w:t>,</w:t>
      </w:r>
      <w:r>
        <w:rPr>
          <w:sz w:val="22"/>
          <w:szCs w:val="22"/>
          <w:lang w:val="hu-HU"/>
        </w:rPr>
        <w:t xml:space="preserve"> …</w:t>
      </w:r>
      <w:r w:rsidR="00CA410E">
        <w:rPr>
          <w:sz w:val="22"/>
          <w:szCs w:val="22"/>
          <w:lang w:val="hu-HU"/>
        </w:rPr>
        <w:t xml:space="preserve"> stb.</w:t>
      </w:r>
    </w:p>
    <w:p w14:paraId="6D51CA59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75CCB8D5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Szerződések módosítása és kivezetése</w:t>
      </w:r>
    </w:p>
    <w:p w14:paraId="49DBB100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0C221CF4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13BD68DA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Bevétel és költség megjelenítés (eredménykimutatás)</w:t>
      </w:r>
    </w:p>
    <w:p w14:paraId="646C2D1D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250B9B09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49477884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Bemutatás a beszámolóban és közzététel</w:t>
      </w:r>
    </w:p>
    <w:p w14:paraId="55E74E65" w14:textId="77777777" w:rsidR="00B47BBD" w:rsidRPr="0013478A" w:rsidRDefault="00B47BBD" w:rsidP="00B47BBD">
      <w:pPr>
        <w:pStyle w:val="CommentText"/>
        <w:ind w:left="360"/>
        <w:rPr>
          <w:rFonts w:ascii="Calibri" w:hAnsi="Calibri" w:cs="Calibri"/>
          <w:sz w:val="22"/>
          <w:szCs w:val="22"/>
          <w:lang w:val="hu-HU"/>
        </w:rPr>
      </w:pPr>
      <w:r w:rsidRPr="0013478A">
        <w:rPr>
          <w:rFonts w:ascii="Calibri" w:hAnsi="Calibri" w:cs="Calibri"/>
          <w:sz w:val="22"/>
          <w:szCs w:val="22"/>
          <w:lang w:val="hu-HU"/>
        </w:rPr>
        <w:t>Mérleg és eredménykimutatás, egyéb átfogó jövedelem (OCI)</w:t>
      </w:r>
    </w:p>
    <w:p w14:paraId="25B76EDB" w14:textId="77777777" w:rsidR="00B47BBD" w:rsidRPr="00217060" w:rsidRDefault="00B47BBD" w:rsidP="00B47BBD">
      <w:pPr>
        <w:pStyle w:val="CommentText"/>
        <w:rPr>
          <w:sz w:val="22"/>
          <w:szCs w:val="22"/>
          <w:lang w:val="hu-HU"/>
        </w:rPr>
      </w:pPr>
    </w:p>
    <w:p w14:paraId="09248C32" w14:textId="77777777" w:rsidR="00B47BBD" w:rsidRPr="00144F80" w:rsidRDefault="00B47BBD" w:rsidP="00B47BBD">
      <w:pPr>
        <w:pStyle w:val="CommentText"/>
        <w:numPr>
          <w:ilvl w:val="0"/>
          <w:numId w:val="43"/>
        </w:numPr>
        <w:rPr>
          <w:b/>
          <w:bCs/>
          <w:sz w:val="22"/>
          <w:szCs w:val="22"/>
          <w:lang w:val="hu-HU"/>
        </w:rPr>
      </w:pPr>
      <w:r w:rsidRPr="00144F80">
        <w:rPr>
          <w:b/>
          <w:bCs/>
          <w:sz w:val="22"/>
          <w:szCs w:val="22"/>
          <w:lang w:val="hu-HU"/>
        </w:rPr>
        <w:t>Átmenet, áttérés az új szabvány szerinti elszámolásra</w:t>
      </w:r>
    </w:p>
    <w:p w14:paraId="69BACCDB" w14:textId="24E8686D" w:rsidR="000C5C24" w:rsidRDefault="000C5C24" w:rsidP="005D4400">
      <w:pPr>
        <w:spacing w:after="120" w:line="276" w:lineRule="auto"/>
        <w:ind w:firstLine="0"/>
        <w:rPr>
          <w:rFonts w:eastAsiaTheme="minorHAnsi"/>
          <w:bCs/>
          <w:iCs/>
          <w:lang w:val="hu-HU"/>
        </w:rPr>
      </w:pPr>
    </w:p>
    <w:p w14:paraId="02FAEE13" w14:textId="6F8C0586" w:rsidR="00CD17F7" w:rsidRDefault="00CD17F7" w:rsidP="00CD17F7">
      <w:pPr>
        <w:rPr>
          <w:rFonts w:eastAsiaTheme="minorHAnsi"/>
          <w:bCs/>
          <w:iCs/>
          <w:lang w:val="hu-HU"/>
        </w:rPr>
      </w:pPr>
    </w:p>
    <w:p w14:paraId="69BCCF7B" w14:textId="77777777" w:rsidR="00CD17F7" w:rsidRPr="00CD17F7" w:rsidRDefault="00CD17F7" w:rsidP="00CD17F7">
      <w:pPr>
        <w:jc w:val="center"/>
        <w:rPr>
          <w:rFonts w:eastAsiaTheme="minorHAnsi"/>
          <w:lang w:val="hu-HU"/>
        </w:rPr>
      </w:pPr>
    </w:p>
    <w:sectPr w:rsidR="00CD17F7" w:rsidRPr="00CD17F7" w:rsidSect="00B4747E">
      <w:footerReference w:type="defaul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3962B" w14:textId="77777777" w:rsidR="00335E39" w:rsidRDefault="00335E39" w:rsidP="00EF2FD4">
      <w:r>
        <w:separator/>
      </w:r>
    </w:p>
  </w:endnote>
  <w:endnote w:type="continuationSeparator" w:id="0">
    <w:p w14:paraId="515D9C5B" w14:textId="77777777" w:rsidR="00335E39" w:rsidRDefault="00335E39" w:rsidP="00EF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ftEF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6673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05DA97" w14:textId="2B7D3E53" w:rsidR="00247603" w:rsidRDefault="002476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7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9FB623" w14:textId="77777777" w:rsidR="00247603" w:rsidRDefault="0024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70CCB" w14:textId="77777777" w:rsidR="00335E39" w:rsidRDefault="00335E39" w:rsidP="00EF2FD4">
      <w:r>
        <w:separator/>
      </w:r>
    </w:p>
  </w:footnote>
  <w:footnote w:type="continuationSeparator" w:id="0">
    <w:p w14:paraId="70B988F6" w14:textId="77777777" w:rsidR="00335E39" w:rsidRDefault="00335E39" w:rsidP="00EF2FD4">
      <w:r>
        <w:continuationSeparator/>
      </w:r>
    </w:p>
  </w:footnote>
  <w:footnote w:id="1">
    <w:p w14:paraId="3A7C24A0" w14:textId="77777777" w:rsidR="00247603" w:rsidRPr="00841002" w:rsidRDefault="00247603">
      <w:pPr>
        <w:pStyle w:val="FootnoteText"/>
        <w:rPr>
          <w:rFonts w:asciiTheme="majorHAnsi" w:hAnsiTheme="majorHAnsi"/>
          <w:lang w:val="hu-HU"/>
        </w:rPr>
      </w:pPr>
      <w:r w:rsidRPr="00841002">
        <w:rPr>
          <w:rStyle w:val="FootnoteReference"/>
          <w:rFonts w:asciiTheme="majorHAnsi" w:hAnsiTheme="majorHAnsi"/>
        </w:rPr>
        <w:footnoteRef/>
      </w:r>
      <w:r w:rsidRPr="00841002">
        <w:rPr>
          <w:rFonts w:asciiTheme="majorHAnsi" w:hAnsiTheme="majorHAnsi"/>
        </w:rPr>
        <w:t xml:space="preserve"> </w:t>
      </w:r>
      <w:r w:rsidRPr="00841002">
        <w:rPr>
          <w:rFonts w:asciiTheme="majorHAnsi" w:hAnsiTheme="majorHAnsi"/>
          <w:bCs/>
          <w:iCs/>
        </w:rPr>
        <w:t>Exposure Draft ED/2013/7 – A revision of ED/2010/8 Insurance contracts</w:t>
      </w:r>
    </w:p>
  </w:footnote>
  <w:footnote w:id="2">
    <w:p w14:paraId="54B9DCCB" w14:textId="5EDB37DD" w:rsidR="00247603" w:rsidRPr="00F13C6A" w:rsidRDefault="00247603" w:rsidP="002276B8">
      <w:pPr>
        <w:pStyle w:val="FootnoteText"/>
        <w:ind w:left="426" w:hanging="66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Például: </w:t>
      </w:r>
      <w:r w:rsidRPr="002276B8">
        <w:rPr>
          <w:lang w:val="hu-HU"/>
        </w:rPr>
        <w:t xml:space="preserve">IFRS 17 Insurance </w:t>
      </w:r>
      <w:r w:rsidRPr="002276B8">
        <w:rPr>
          <w:lang w:val="hu-HU"/>
        </w:rPr>
        <w:t>Contracts</w:t>
      </w:r>
      <w:r>
        <w:rPr>
          <w:lang w:val="hu-HU"/>
        </w:rPr>
        <w:t xml:space="preserve"> </w:t>
      </w:r>
      <w:r w:rsidRPr="002276B8">
        <w:rPr>
          <w:lang w:val="hu-HU"/>
        </w:rPr>
        <w:t>Effects Analysis</w:t>
      </w:r>
      <w:r>
        <w:rPr>
          <w:lang w:val="hu-HU"/>
        </w:rPr>
        <w:t xml:space="preserve">; </w:t>
      </w:r>
      <w:r w:rsidRPr="002276B8">
        <w:rPr>
          <w:lang w:val="hu-HU"/>
        </w:rPr>
        <w:t>Illustrative Examples</w:t>
      </w:r>
      <w:r>
        <w:rPr>
          <w:lang w:val="hu-HU"/>
        </w:rPr>
        <w:t xml:space="preserve">; </w:t>
      </w:r>
      <w:r w:rsidRPr="002276B8">
        <w:rPr>
          <w:lang w:val="hu-HU"/>
        </w:rPr>
        <w:t>Basis for Conclusions</w:t>
      </w:r>
      <w:r>
        <w:rPr>
          <w:lang w:val="hu-HU"/>
        </w:rPr>
        <w:t>; az IASB munkaszervezetének különféle dokumentumai; a szabvány esetleges módosításai</w:t>
      </w:r>
    </w:p>
  </w:footnote>
  <w:footnote w:id="3">
    <w:p w14:paraId="4795EA83" w14:textId="627366C6" w:rsidR="00247603" w:rsidRPr="00E36382" w:rsidRDefault="00247603">
      <w:pPr>
        <w:pStyle w:val="FootnoteText"/>
        <w:rPr>
          <w:rFonts w:asciiTheme="majorHAnsi" w:hAnsiTheme="majorHAnsi"/>
          <w:lang w:val="hu-HU"/>
        </w:rPr>
      </w:pPr>
      <w:r w:rsidRPr="00E36382">
        <w:rPr>
          <w:rStyle w:val="FootnoteReference"/>
          <w:rFonts w:asciiTheme="majorHAnsi" w:hAnsiTheme="majorHAnsi"/>
        </w:rPr>
        <w:footnoteRef/>
      </w:r>
      <w:r>
        <w:rPr>
          <w:rFonts w:asciiTheme="majorHAnsi" w:hAnsiTheme="majorHAnsi"/>
        </w:rPr>
        <w:t xml:space="preserve"> IFRS17 </w:t>
      </w:r>
      <w:r w:rsidRPr="00E36382">
        <w:rPr>
          <w:rStyle w:val="BookTitle"/>
          <w:rFonts w:cstheme="minorHAnsi"/>
          <w:b w:val="0"/>
          <w:i w:val="0"/>
          <w:lang w:val="hu-HU"/>
        </w:rPr>
        <w:t>par B26-B27</w:t>
      </w:r>
    </w:p>
  </w:footnote>
  <w:footnote w:id="4">
    <w:p w14:paraId="0AA918F0" w14:textId="3D168F6A" w:rsidR="00247603" w:rsidRPr="00440C9C" w:rsidRDefault="00247603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Bár a túlnyomó részt biztosítási szerződéses kötelezettséggel rendelkező társaságok az összefoglaló készítésekor élhetnek az IFRS9 későbbi bevezetésének lehetőségével, ám az IFRS17-es szabvány bevezetésével egyidejűleg az IFRS9 bevezetése is megtörténik majd, ezért a pénzügyi instrumentumok elszámolása tekintetében az IFRS9-es szabályozás releváns paragrafusai kerülnek kiemelésre.</w:t>
      </w:r>
    </w:p>
  </w:footnote>
  <w:footnote w:id="5">
    <w:p w14:paraId="406C1917" w14:textId="3263D21B" w:rsidR="00247603" w:rsidRPr="00841002" w:rsidRDefault="00247603" w:rsidP="00043831">
      <w:pPr>
        <w:pStyle w:val="FootnoteText"/>
        <w:rPr>
          <w:rFonts w:asciiTheme="majorHAnsi" w:hAnsiTheme="majorHAnsi"/>
          <w:lang w:val="hu-HU"/>
        </w:rPr>
      </w:pPr>
      <w:r w:rsidRPr="00841002">
        <w:rPr>
          <w:rStyle w:val="FootnoteReference"/>
          <w:rFonts w:asciiTheme="majorHAnsi" w:hAnsiTheme="majorHAnsi"/>
        </w:rPr>
        <w:footnoteRef/>
      </w:r>
      <w:r w:rsidRPr="00841002">
        <w:rPr>
          <w:rFonts w:asciiTheme="majorHAnsi" w:hAnsiTheme="majorHAnsi"/>
        </w:rPr>
        <w:t xml:space="preserve"> </w:t>
      </w:r>
      <w:r w:rsidRPr="00043831">
        <w:rPr>
          <w:lang w:val="hu-HU"/>
        </w:rPr>
        <w:t>Fordítás</w:t>
      </w:r>
      <w:r w:rsidRPr="00841002">
        <w:rPr>
          <w:rStyle w:val="FootnoteReference"/>
          <w:rFonts w:asciiTheme="majorHAnsi" w:hAnsiTheme="majorHAnsi"/>
          <w:vertAlign w:val="baseline"/>
        </w:rPr>
        <w:t xml:space="preserve"> </w:t>
      </w:r>
      <w:r w:rsidRPr="00841002">
        <w:rPr>
          <w:rStyle w:val="FootnoteReference"/>
          <w:rFonts w:asciiTheme="majorHAnsi" w:hAnsiTheme="majorHAnsi"/>
          <w:vertAlign w:val="baseline"/>
        </w:rPr>
        <w:t>forrása</w:t>
      </w:r>
      <w:r>
        <w:rPr>
          <w:rFonts w:asciiTheme="majorHAnsi" w:hAnsiTheme="majorHAnsi"/>
        </w:rPr>
        <w:t>:</w:t>
      </w:r>
      <w:r w:rsidRPr="00841002">
        <w:rPr>
          <w:rStyle w:val="FootnoteReference"/>
          <w:rFonts w:asciiTheme="majorHAnsi" w:hAnsiTheme="majorHAnsi"/>
          <w:vertAlign w:val="baseline"/>
        </w:rPr>
        <w:t xml:space="preserve"> A BIZOTTSÁG 1126/2008/EK RENDELETE (2008. november 3.) az 1606/2002/EK európai parlamenti és tanácsi rendelettel összhangban egyes nemzetközi számviteli standardok elfogadásáról</w:t>
      </w:r>
    </w:p>
  </w:footnote>
  <w:footnote w:id="6">
    <w:p w14:paraId="140FA815" w14:textId="032A9572" w:rsidR="00247603" w:rsidRPr="00E80D50" w:rsidRDefault="00247603">
      <w:pPr>
        <w:pStyle w:val="FootnoteText"/>
        <w:rPr>
          <w:rStyle w:val="Standard"/>
          <w:rFonts w:eastAsiaTheme="minorHAnsi" w:cstheme="minorHAnsi"/>
          <w:sz w:val="22"/>
          <w:szCs w:val="22"/>
        </w:rPr>
      </w:pPr>
      <w:r w:rsidRPr="00E80D50">
        <w:rPr>
          <w:rStyle w:val="Standard"/>
          <w:rFonts w:eastAsiaTheme="minorHAnsi" w:cstheme="minorHAnsi"/>
          <w:sz w:val="22"/>
          <w:szCs w:val="22"/>
        </w:rPr>
        <w:footnoteRef/>
      </w:r>
      <w:r w:rsidRPr="00E80D50">
        <w:rPr>
          <w:rStyle w:val="Standard"/>
          <w:rFonts w:eastAsiaTheme="minorHAnsi" w:cstheme="minorHAnsi"/>
          <w:sz w:val="22"/>
          <w:szCs w:val="22"/>
        </w:rPr>
        <w:t xml:space="preserve"> IFRS9 par B4.3.1 és IFRS9 definíciók </w:t>
      </w:r>
    </w:p>
  </w:footnote>
  <w:footnote w:id="7">
    <w:p w14:paraId="37AAD5CB" w14:textId="138D45FE" w:rsidR="00247603" w:rsidRPr="00E80D50" w:rsidRDefault="00247603">
      <w:pPr>
        <w:pStyle w:val="FootnoteText"/>
        <w:rPr>
          <w:rStyle w:val="Standard"/>
          <w:rFonts w:eastAsiaTheme="minorHAnsi" w:cstheme="minorHAnsi"/>
          <w:sz w:val="22"/>
          <w:szCs w:val="22"/>
        </w:rPr>
      </w:pPr>
      <w:r w:rsidRPr="00E80D50">
        <w:rPr>
          <w:rStyle w:val="Standard"/>
          <w:rFonts w:eastAsiaTheme="minorHAnsi" w:cstheme="minorHAnsi"/>
          <w:sz w:val="22"/>
          <w:szCs w:val="22"/>
        </w:rPr>
        <w:footnoteRef/>
      </w:r>
      <w:r w:rsidRPr="00E80D50">
        <w:rPr>
          <w:rStyle w:val="Standard"/>
          <w:rFonts w:eastAsiaTheme="minorHAnsi" w:cstheme="minorHAnsi"/>
          <w:sz w:val="22"/>
          <w:szCs w:val="22"/>
        </w:rPr>
        <w:t xml:space="preserve"> IFRS9 par B4.3.1-B4.3.8</w:t>
      </w:r>
    </w:p>
  </w:footnote>
  <w:footnote w:id="8">
    <w:p w14:paraId="3D6954B5" w14:textId="714C2470" w:rsidR="00247603" w:rsidRPr="00C32BFA" w:rsidRDefault="00247603">
      <w:pPr>
        <w:pStyle w:val="FootnoteText"/>
        <w:rPr>
          <w:lang w:val="hu-HU"/>
        </w:rPr>
      </w:pPr>
      <w:r w:rsidRPr="00E80D50">
        <w:rPr>
          <w:rStyle w:val="Standard"/>
          <w:rFonts w:eastAsiaTheme="minorHAnsi" w:cstheme="minorHAnsi"/>
          <w:sz w:val="22"/>
          <w:szCs w:val="22"/>
        </w:rPr>
        <w:footnoteRef/>
      </w:r>
      <w:r w:rsidRPr="00E80D50">
        <w:rPr>
          <w:rStyle w:val="Standard"/>
          <w:rFonts w:eastAsiaTheme="minorHAnsi" w:cstheme="minorHAnsi"/>
          <w:sz w:val="22"/>
          <w:szCs w:val="22"/>
        </w:rPr>
        <w:t xml:space="preserve"> </w:t>
      </w:r>
      <w:r w:rsidRPr="00E80D50">
        <w:rPr>
          <w:rStyle w:val="Standard"/>
          <w:rFonts w:eastAsiaTheme="minorHAnsi" w:cstheme="minorHAnsi"/>
          <w:sz w:val="22"/>
          <w:szCs w:val="22"/>
        </w:rPr>
        <w:t>Ld IFRS17.B10.</w:t>
      </w:r>
    </w:p>
  </w:footnote>
  <w:footnote w:id="9">
    <w:p w14:paraId="2CB62D63" w14:textId="5969665E" w:rsidR="00247603" w:rsidRPr="00233DEB" w:rsidRDefault="00247603" w:rsidP="00233DEB">
      <w:pPr>
        <w:pStyle w:val="FootnoteText"/>
        <w:ind w:left="426" w:hanging="66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„Magyarul” a </w:t>
      </w:r>
      <w:r>
        <w:rPr>
          <w:lang w:val="hu-HU"/>
        </w:rPr>
        <w:t>regressz; e vonatkozásban nem minősül kármegtérülésnek a viszont</w:t>
      </w:r>
      <w:r w:rsidRPr="00233DEB">
        <w:rPr>
          <w:lang w:val="hu-HU"/>
        </w:rPr>
        <w:t>biztosít</w:t>
      </w:r>
      <w:r>
        <w:rPr>
          <w:lang w:val="hu-HU"/>
        </w:rPr>
        <w:t>ási szerződés alapján kapott összeg</w:t>
      </w:r>
    </w:p>
  </w:footnote>
  <w:footnote w:id="10">
    <w:p w14:paraId="6E688EDF" w14:textId="13C0F217" w:rsidR="00247603" w:rsidRPr="00DA3811" w:rsidRDefault="00247603" w:rsidP="00DA3811">
      <w:pPr>
        <w:pStyle w:val="FootnoteText"/>
        <w:ind w:left="426" w:hanging="66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>Fontos hangsúlyozni a két fogalom: a leválasztás (</w:t>
      </w:r>
      <w:r>
        <w:rPr>
          <w:lang w:val="hu-HU"/>
        </w:rPr>
        <w:t>separation) és a szétválasztás (unbundling) különbségét</w:t>
      </w:r>
    </w:p>
  </w:footnote>
  <w:footnote w:id="11">
    <w:p w14:paraId="44D1BBAC" w14:textId="73F86BF4" w:rsidR="00247603" w:rsidRPr="00DA3811" w:rsidRDefault="00247603">
      <w:pPr>
        <w:pStyle w:val="FootnoteText"/>
        <w:rPr>
          <w:lang w:val="hu-H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u-HU"/>
        </w:rPr>
        <w:t xml:space="preserve">Ld. a </w:t>
      </w:r>
      <w:r>
        <w:rPr>
          <w:lang w:val="hu-HU"/>
        </w:rPr>
        <w:t>Transtion Resource Group (TRG) vonatkozó véleményét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59A4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00FE"/>
    <w:multiLevelType w:val="hybridMultilevel"/>
    <w:tmpl w:val="895E7294"/>
    <w:lvl w:ilvl="0" w:tplc="C40EF622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" w15:restartNumberingAfterBreak="0">
    <w:nsid w:val="066A51D6"/>
    <w:multiLevelType w:val="hybridMultilevel"/>
    <w:tmpl w:val="74627358"/>
    <w:lvl w:ilvl="0" w:tplc="040E000F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7CC59CA"/>
    <w:multiLevelType w:val="hybridMultilevel"/>
    <w:tmpl w:val="90F8064C"/>
    <w:lvl w:ilvl="0" w:tplc="C40EF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D61973"/>
    <w:multiLevelType w:val="hybridMultilevel"/>
    <w:tmpl w:val="2AAC93A8"/>
    <w:lvl w:ilvl="0" w:tplc="C40EF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B7B1123"/>
    <w:multiLevelType w:val="hybridMultilevel"/>
    <w:tmpl w:val="61C426D8"/>
    <w:lvl w:ilvl="0" w:tplc="C40EF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CAE2269"/>
    <w:multiLevelType w:val="hybridMultilevel"/>
    <w:tmpl w:val="BCC2D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EE0D4D"/>
    <w:multiLevelType w:val="hybridMultilevel"/>
    <w:tmpl w:val="DB7836A8"/>
    <w:lvl w:ilvl="0" w:tplc="6422EA7E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FBA01FB"/>
    <w:multiLevelType w:val="hybridMultilevel"/>
    <w:tmpl w:val="6F08218A"/>
    <w:lvl w:ilvl="0" w:tplc="62361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2BE1"/>
    <w:multiLevelType w:val="hybridMultilevel"/>
    <w:tmpl w:val="22126E1C"/>
    <w:lvl w:ilvl="0" w:tplc="D8D05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84C5C"/>
    <w:multiLevelType w:val="hybridMultilevel"/>
    <w:tmpl w:val="42F2B5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B11597"/>
    <w:multiLevelType w:val="multilevel"/>
    <w:tmpl w:val="29448A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F629F1"/>
    <w:multiLevelType w:val="hybridMultilevel"/>
    <w:tmpl w:val="B08EBD16"/>
    <w:lvl w:ilvl="0" w:tplc="C40EF622">
      <w:start w:val="1"/>
      <w:numFmt w:val="bullet"/>
      <w:lvlText w:val=""/>
      <w:lvlJc w:val="left"/>
      <w:pPr>
        <w:ind w:left="877" w:hanging="360"/>
      </w:pPr>
      <w:rPr>
        <w:rFonts w:ascii="Symbol" w:hAnsi="Symbol" w:hint="default"/>
      </w:rPr>
    </w:lvl>
    <w:lvl w:ilvl="1" w:tplc="C40EF622">
      <w:start w:val="1"/>
      <w:numFmt w:val="bullet"/>
      <w:lvlText w:val=""/>
      <w:lvlJc w:val="left"/>
      <w:pPr>
        <w:ind w:left="1597" w:hanging="360"/>
      </w:pPr>
      <w:rPr>
        <w:rFonts w:ascii="Symbol" w:hAnsi="Symbol" w:hint="default"/>
      </w:rPr>
    </w:lvl>
    <w:lvl w:ilvl="2" w:tplc="F4D661DA">
      <w:start w:val="2014"/>
      <w:numFmt w:val="bullet"/>
      <w:lvlText w:val="-"/>
      <w:lvlJc w:val="left"/>
      <w:pPr>
        <w:ind w:left="2317" w:hanging="360"/>
      </w:pPr>
      <w:rPr>
        <w:rFonts w:ascii="Calibri" w:eastAsiaTheme="maj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3" w15:restartNumberingAfterBreak="0">
    <w:nsid w:val="220007F2"/>
    <w:multiLevelType w:val="hybridMultilevel"/>
    <w:tmpl w:val="859654E8"/>
    <w:lvl w:ilvl="0" w:tplc="C40EF62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A35E56"/>
    <w:multiLevelType w:val="hybridMultilevel"/>
    <w:tmpl w:val="B1824CBE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96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5" w15:restartNumberingAfterBreak="0">
    <w:nsid w:val="29B075AD"/>
    <w:multiLevelType w:val="hybridMultilevel"/>
    <w:tmpl w:val="F27626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4B38AD"/>
    <w:multiLevelType w:val="hybridMultilevel"/>
    <w:tmpl w:val="6C321556"/>
    <w:lvl w:ilvl="0" w:tplc="6422EA7E">
      <w:start w:val="1"/>
      <w:numFmt w:val="lowerLetter"/>
      <w:lvlText w:val="(%1)"/>
      <w:lvlJc w:val="left"/>
      <w:pPr>
        <w:ind w:left="1512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02A69AC"/>
    <w:multiLevelType w:val="hybridMultilevel"/>
    <w:tmpl w:val="4D485BCE"/>
    <w:lvl w:ilvl="0" w:tplc="62361616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C40EF622">
      <w:start w:val="1"/>
      <w:numFmt w:val="bullet"/>
      <w:lvlText w:val=""/>
      <w:lvlJc w:val="left"/>
      <w:pPr>
        <w:ind w:left="1597" w:hanging="360"/>
      </w:pPr>
      <w:rPr>
        <w:rFonts w:ascii="Symbol" w:hAnsi="Symbol" w:hint="default"/>
      </w:rPr>
    </w:lvl>
    <w:lvl w:ilvl="2" w:tplc="F4D661DA">
      <w:start w:val="2014"/>
      <w:numFmt w:val="bullet"/>
      <w:lvlText w:val="-"/>
      <w:lvlJc w:val="left"/>
      <w:pPr>
        <w:ind w:left="2317" w:hanging="360"/>
      </w:pPr>
      <w:rPr>
        <w:rFonts w:ascii="Calibri" w:eastAsiaTheme="majorEastAsia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8" w15:restartNumberingAfterBreak="0">
    <w:nsid w:val="31012DCA"/>
    <w:multiLevelType w:val="hybridMultilevel"/>
    <w:tmpl w:val="9DA2CF52"/>
    <w:lvl w:ilvl="0" w:tplc="6422EA7E">
      <w:start w:val="1"/>
      <w:numFmt w:val="lowerLetter"/>
      <w:lvlText w:val="(%1)"/>
      <w:lvlJc w:val="left"/>
      <w:pPr>
        <w:ind w:left="20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46C4EE0"/>
    <w:multiLevelType w:val="hybridMultilevel"/>
    <w:tmpl w:val="A00EE69C"/>
    <w:lvl w:ilvl="0" w:tplc="C40EF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0A53DC"/>
    <w:multiLevelType w:val="hybridMultilevel"/>
    <w:tmpl w:val="C584FA20"/>
    <w:lvl w:ilvl="0" w:tplc="ED34639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49A1"/>
    <w:multiLevelType w:val="hybridMultilevel"/>
    <w:tmpl w:val="66FC337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D13232B"/>
    <w:multiLevelType w:val="hybridMultilevel"/>
    <w:tmpl w:val="A1F0ED56"/>
    <w:lvl w:ilvl="0" w:tplc="9FD4081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5511A"/>
    <w:multiLevelType w:val="hybridMultilevel"/>
    <w:tmpl w:val="14707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0354BE1"/>
    <w:multiLevelType w:val="hybridMultilevel"/>
    <w:tmpl w:val="91B67670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C40EF62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2" w:tplc="C40EF622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51572B58"/>
    <w:multiLevelType w:val="hybridMultilevel"/>
    <w:tmpl w:val="262EFF0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824609"/>
    <w:multiLevelType w:val="hybridMultilevel"/>
    <w:tmpl w:val="30547D1E"/>
    <w:lvl w:ilvl="0" w:tplc="623616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361751"/>
    <w:multiLevelType w:val="hybridMultilevel"/>
    <w:tmpl w:val="F014BB38"/>
    <w:lvl w:ilvl="0" w:tplc="4EF44F06">
      <w:start w:val="2018"/>
      <w:numFmt w:val="bullet"/>
      <w:lvlText w:val="-"/>
      <w:lvlJc w:val="left"/>
      <w:pPr>
        <w:ind w:left="84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3BE3C3D"/>
    <w:multiLevelType w:val="hybridMultilevel"/>
    <w:tmpl w:val="D17E82A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6282D"/>
    <w:multiLevelType w:val="hybridMultilevel"/>
    <w:tmpl w:val="262EFF0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566390A"/>
    <w:multiLevelType w:val="hybridMultilevel"/>
    <w:tmpl w:val="DE1459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40597"/>
    <w:multiLevelType w:val="hybridMultilevel"/>
    <w:tmpl w:val="354ACC12"/>
    <w:lvl w:ilvl="0" w:tplc="623616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3327E4"/>
    <w:multiLevelType w:val="hybridMultilevel"/>
    <w:tmpl w:val="0C1868E4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620FA9"/>
    <w:multiLevelType w:val="hybridMultilevel"/>
    <w:tmpl w:val="DBBC765E"/>
    <w:lvl w:ilvl="0" w:tplc="C40EF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A05C61"/>
    <w:multiLevelType w:val="hybridMultilevel"/>
    <w:tmpl w:val="84006732"/>
    <w:lvl w:ilvl="0" w:tplc="040E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2C4270"/>
    <w:multiLevelType w:val="hybridMultilevel"/>
    <w:tmpl w:val="E66AF2B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40B22E3"/>
    <w:multiLevelType w:val="hybridMultilevel"/>
    <w:tmpl w:val="1CB24D92"/>
    <w:lvl w:ilvl="0" w:tplc="623616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834731"/>
    <w:multiLevelType w:val="hybridMultilevel"/>
    <w:tmpl w:val="BDEA3E7E"/>
    <w:lvl w:ilvl="0" w:tplc="6422EA7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56636B"/>
    <w:multiLevelType w:val="hybridMultilevel"/>
    <w:tmpl w:val="B6EE5116"/>
    <w:lvl w:ilvl="0" w:tplc="6422EA7E">
      <w:start w:val="1"/>
      <w:numFmt w:val="lowerLetter"/>
      <w:lvlText w:val="(%1)"/>
      <w:lvlJc w:val="left"/>
      <w:pPr>
        <w:ind w:left="2439" w:hanging="9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79E231CF"/>
    <w:multiLevelType w:val="hybridMultilevel"/>
    <w:tmpl w:val="FEAE10A0"/>
    <w:lvl w:ilvl="0" w:tplc="C40EF6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ACD7021"/>
    <w:multiLevelType w:val="hybridMultilevel"/>
    <w:tmpl w:val="CF4E8F52"/>
    <w:lvl w:ilvl="0" w:tplc="C40EF622">
      <w:start w:val="1"/>
      <w:numFmt w:val="bullet"/>
      <w:lvlText w:val=""/>
      <w:lvlJc w:val="left"/>
      <w:pPr>
        <w:ind w:left="23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1" w15:restartNumberingAfterBreak="0">
    <w:nsid w:val="7BA70126"/>
    <w:multiLevelType w:val="hybridMultilevel"/>
    <w:tmpl w:val="66FC33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4444B"/>
    <w:multiLevelType w:val="hybridMultilevel"/>
    <w:tmpl w:val="55CE3F4C"/>
    <w:lvl w:ilvl="0" w:tplc="C40EF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3"/>
  </w:num>
  <w:num w:numId="5">
    <w:abstractNumId w:val="19"/>
  </w:num>
  <w:num w:numId="6">
    <w:abstractNumId w:val="9"/>
  </w:num>
  <w:num w:numId="7">
    <w:abstractNumId w:val="21"/>
  </w:num>
  <w:num w:numId="8">
    <w:abstractNumId w:val="35"/>
  </w:num>
  <w:num w:numId="9">
    <w:abstractNumId w:val="14"/>
  </w:num>
  <w:num w:numId="10">
    <w:abstractNumId w:val="5"/>
  </w:num>
  <w:num w:numId="11">
    <w:abstractNumId w:val="39"/>
  </w:num>
  <w:num w:numId="12">
    <w:abstractNumId w:val="33"/>
  </w:num>
  <w:num w:numId="13">
    <w:abstractNumId w:val="1"/>
  </w:num>
  <w:num w:numId="14">
    <w:abstractNumId w:val="4"/>
  </w:num>
  <w:num w:numId="15">
    <w:abstractNumId w:val="16"/>
  </w:num>
  <w:num w:numId="16">
    <w:abstractNumId w:val="38"/>
  </w:num>
  <w:num w:numId="17">
    <w:abstractNumId w:val="40"/>
  </w:num>
  <w:num w:numId="18">
    <w:abstractNumId w:val="24"/>
  </w:num>
  <w:num w:numId="19">
    <w:abstractNumId w:val="18"/>
  </w:num>
  <w:num w:numId="20">
    <w:abstractNumId w:val="7"/>
  </w:num>
  <w:num w:numId="21">
    <w:abstractNumId w:val="42"/>
  </w:num>
  <w:num w:numId="22">
    <w:abstractNumId w:val="25"/>
  </w:num>
  <w:num w:numId="23">
    <w:abstractNumId w:val="29"/>
  </w:num>
  <w:num w:numId="24">
    <w:abstractNumId w:val="11"/>
  </w:num>
  <w:num w:numId="25">
    <w:abstractNumId w:val="30"/>
  </w:num>
  <w:num w:numId="26">
    <w:abstractNumId w:val="27"/>
  </w:num>
  <w:num w:numId="27">
    <w:abstractNumId w:val="23"/>
  </w:num>
  <w:num w:numId="28">
    <w:abstractNumId w:val="6"/>
  </w:num>
  <w:num w:numId="29">
    <w:abstractNumId w:val="10"/>
  </w:num>
  <w:num w:numId="30">
    <w:abstractNumId w:val="0"/>
  </w:num>
  <w:num w:numId="31">
    <w:abstractNumId w:val="2"/>
  </w:num>
  <w:num w:numId="32">
    <w:abstractNumId w:val="37"/>
  </w:num>
  <w:num w:numId="33">
    <w:abstractNumId w:val="32"/>
  </w:num>
  <w:num w:numId="34">
    <w:abstractNumId w:val="34"/>
  </w:num>
  <w:num w:numId="35">
    <w:abstractNumId w:val="8"/>
  </w:num>
  <w:num w:numId="36">
    <w:abstractNumId w:val="31"/>
  </w:num>
  <w:num w:numId="37">
    <w:abstractNumId w:val="26"/>
  </w:num>
  <w:num w:numId="38">
    <w:abstractNumId w:val="36"/>
  </w:num>
  <w:num w:numId="39">
    <w:abstractNumId w:val="41"/>
  </w:num>
  <w:num w:numId="40">
    <w:abstractNumId w:val="17"/>
  </w:num>
  <w:num w:numId="41">
    <w:abstractNumId w:val="22"/>
  </w:num>
  <w:num w:numId="42">
    <w:abstractNumId w:val="28"/>
  </w:num>
  <w:num w:numId="4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BC"/>
    <w:rsid w:val="00002785"/>
    <w:rsid w:val="0001516D"/>
    <w:rsid w:val="00026B25"/>
    <w:rsid w:val="00026D46"/>
    <w:rsid w:val="00030387"/>
    <w:rsid w:val="00030D8F"/>
    <w:rsid w:val="00032533"/>
    <w:rsid w:val="00032B66"/>
    <w:rsid w:val="00032CF6"/>
    <w:rsid w:val="000433C4"/>
    <w:rsid w:val="00043831"/>
    <w:rsid w:val="000454F2"/>
    <w:rsid w:val="00046EB8"/>
    <w:rsid w:val="00051EAF"/>
    <w:rsid w:val="00055B1A"/>
    <w:rsid w:val="000649D1"/>
    <w:rsid w:val="0007068F"/>
    <w:rsid w:val="00070B8B"/>
    <w:rsid w:val="0007311F"/>
    <w:rsid w:val="00073978"/>
    <w:rsid w:val="0007584F"/>
    <w:rsid w:val="00075CC5"/>
    <w:rsid w:val="00077FE9"/>
    <w:rsid w:val="00081C28"/>
    <w:rsid w:val="000821C6"/>
    <w:rsid w:val="00083FD4"/>
    <w:rsid w:val="0009665B"/>
    <w:rsid w:val="000A7C1F"/>
    <w:rsid w:val="000B191C"/>
    <w:rsid w:val="000B3158"/>
    <w:rsid w:val="000B347E"/>
    <w:rsid w:val="000B4272"/>
    <w:rsid w:val="000B6EAB"/>
    <w:rsid w:val="000C5077"/>
    <w:rsid w:val="000C5C24"/>
    <w:rsid w:val="000D2783"/>
    <w:rsid w:val="000D2C16"/>
    <w:rsid w:val="000D34AE"/>
    <w:rsid w:val="000D433D"/>
    <w:rsid w:val="000D6923"/>
    <w:rsid w:val="000E0194"/>
    <w:rsid w:val="000E1171"/>
    <w:rsid w:val="000E5A27"/>
    <w:rsid w:val="000F1E26"/>
    <w:rsid w:val="000F2182"/>
    <w:rsid w:val="000F260B"/>
    <w:rsid w:val="000F3525"/>
    <w:rsid w:val="000F4783"/>
    <w:rsid w:val="00101132"/>
    <w:rsid w:val="001011ED"/>
    <w:rsid w:val="001024C0"/>
    <w:rsid w:val="00106D77"/>
    <w:rsid w:val="0011149B"/>
    <w:rsid w:val="001324B5"/>
    <w:rsid w:val="0014252D"/>
    <w:rsid w:val="00145FB1"/>
    <w:rsid w:val="001462E6"/>
    <w:rsid w:val="001505D7"/>
    <w:rsid w:val="001508AB"/>
    <w:rsid w:val="001510E8"/>
    <w:rsid w:val="001541FA"/>
    <w:rsid w:val="00156581"/>
    <w:rsid w:val="00160D8A"/>
    <w:rsid w:val="00162CA5"/>
    <w:rsid w:val="0017596A"/>
    <w:rsid w:val="00176ADE"/>
    <w:rsid w:val="00177F51"/>
    <w:rsid w:val="001807E4"/>
    <w:rsid w:val="00182EAB"/>
    <w:rsid w:val="00193694"/>
    <w:rsid w:val="001970DB"/>
    <w:rsid w:val="001A1BA1"/>
    <w:rsid w:val="001A7122"/>
    <w:rsid w:val="001A7CEA"/>
    <w:rsid w:val="001C4B73"/>
    <w:rsid w:val="001C54EF"/>
    <w:rsid w:val="001C608A"/>
    <w:rsid w:val="001D2377"/>
    <w:rsid w:val="001D4A97"/>
    <w:rsid w:val="001D5E0E"/>
    <w:rsid w:val="001D657E"/>
    <w:rsid w:val="001E2A9B"/>
    <w:rsid w:val="001F47BF"/>
    <w:rsid w:val="001F663F"/>
    <w:rsid w:val="00200C02"/>
    <w:rsid w:val="00210B04"/>
    <w:rsid w:val="00216D1E"/>
    <w:rsid w:val="00221695"/>
    <w:rsid w:val="0022253B"/>
    <w:rsid w:val="00227479"/>
    <w:rsid w:val="002276B8"/>
    <w:rsid w:val="0023027E"/>
    <w:rsid w:val="00231B6B"/>
    <w:rsid w:val="002332F3"/>
    <w:rsid w:val="00233DEB"/>
    <w:rsid w:val="0023691F"/>
    <w:rsid w:val="00242435"/>
    <w:rsid w:val="00244D4D"/>
    <w:rsid w:val="0024716E"/>
    <w:rsid w:val="002471A3"/>
    <w:rsid w:val="00247603"/>
    <w:rsid w:val="00253E72"/>
    <w:rsid w:val="00253EB9"/>
    <w:rsid w:val="00254704"/>
    <w:rsid w:val="00256E8C"/>
    <w:rsid w:val="0025727A"/>
    <w:rsid w:val="002628FF"/>
    <w:rsid w:val="00266C6D"/>
    <w:rsid w:val="002732DC"/>
    <w:rsid w:val="00273B5C"/>
    <w:rsid w:val="002930B4"/>
    <w:rsid w:val="002A4C21"/>
    <w:rsid w:val="002B693B"/>
    <w:rsid w:val="002B7372"/>
    <w:rsid w:val="002C2E47"/>
    <w:rsid w:val="002D2FF5"/>
    <w:rsid w:val="002D4B6A"/>
    <w:rsid w:val="002D5666"/>
    <w:rsid w:val="002D5A3D"/>
    <w:rsid w:val="002E14B7"/>
    <w:rsid w:val="002E176D"/>
    <w:rsid w:val="002E66CF"/>
    <w:rsid w:val="002F4E20"/>
    <w:rsid w:val="00301EB4"/>
    <w:rsid w:val="00302068"/>
    <w:rsid w:val="003053A2"/>
    <w:rsid w:val="00305865"/>
    <w:rsid w:val="0030691E"/>
    <w:rsid w:val="00310B9D"/>
    <w:rsid w:val="00312391"/>
    <w:rsid w:val="003165C9"/>
    <w:rsid w:val="00316878"/>
    <w:rsid w:val="003232B2"/>
    <w:rsid w:val="00325F0C"/>
    <w:rsid w:val="00335E39"/>
    <w:rsid w:val="0034190A"/>
    <w:rsid w:val="00345A5C"/>
    <w:rsid w:val="003461EC"/>
    <w:rsid w:val="0034788A"/>
    <w:rsid w:val="0034790C"/>
    <w:rsid w:val="00347D6B"/>
    <w:rsid w:val="003519A1"/>
    <w:rsid w:val="00355C8D"/>
    <w:rsid w:val="0036122C"/>
    <w:rsid w:val="00361A88"/>
    <w:rsid w:val="00364FF7"/>
    <w:rsid w:val="00375740"/>
    <w:rsid w:val="00377E23"/>
    <w:rsid w:val="00380319"/>
    <w:rsid w:val="003848A8"/>
    <w:rsid w:val="00386F26"/>
    <w:rsid w:val="00387EE8"/>
    <w:rsid w:val="003900EE"/>
    <w:rsid w:val="003A5741"/>
    <w:rsid w:val="003A6AC6"/>
    <w:rsid w:val="003D2C4B"/>
    <w:rsid w:val="003D5434"/>
    <w:rsid w:val="003D6468"/>
    <w:rsid w:val="003D78D6"/>
    <w:rsid w:val="003E2C70"/>
    <w:rsid w:val="003E5EA2"/>
    <w:rsid w:val="003E7349"/>
    <w:rsid w:val="003F387E"/>
    <w:rsid w:val="003F3F5C"/>
    <w:rsid w:val="00404E5F"/>
    <w:rsid w:val="004100F1"/>
    <w:rsid w:val="004161DC"/>
    <w:rsid w:val="00421C63"/>
    <w:rsid w:val="00423BF8"/>
    <w:rsid w:val="004251A6"/>
    <w:rsid w:val="0043045C"/>
    <w:rsid w:val="004316D9"/>
    <w:rsid w:val="004365A5"/>
    <w:rsid w:val="00436828"/>
    <w:rsid w:val="00437FDF"/>
    <w:rsid w:val="00440C9C"/>
    <w:rsid w:val="0044206D"/>
    <w:rsid w:val="004428E5"/>
    <w:rsid w:val="00443B6F"/>
    <w:rsid w:val="00444B79"/>
    <w:rsid w:val="00453FFA"/>
    <w:rsid w:val="00454AAF"/>
    <w:rsid w:val="00460B15"/>
    <w:rsid w:val="00463C60"/>
    <w:rsid w:val="00466B83"/>
    <w:rsid w:val="00473D97"/>
    <w:rsid w:val="00481A30"/>
    <w:rsid w:val="00486E9E"/>
    <w:rsid w:val="00494042"/>
    <w:rsid w:val="00494150"/>
    <w:rsid w:val="0049471A"/>
    <w:rsid w:val="004B027E"/>
    <w:rsid w:val="004C1FCD"/>
    <w:rsid w:val="004C6BFF"/>
    <w:rsid w:val="004C7082"/>
    <w:rsid w:val="004C7465"/>
    <w:rsid w:val="004C7B43"/>
    <w:rsid w:val="004D0581"/>
    <w:rsid w:val="004D2878"/>
    <w:rsid w:val="004D389C"/>
    <w:rsid w:val="004D74B6"/>
    <w:rsid w:val="004E371F"/>
    <w:rsid w:val="004E6612"/>
    <w:rsid w:val="004F23CB"/>
    <w:rsid w:val="004F58FB"/>
    <w:rsid w:val="00500D9A"/>
    <w:rsid w:val="005027B7"/>
    <w:rsid w:val="00505EEC"/>
    <w:rsid w:val="00507591"/>
    <w:rsid w:val="005076BE"/>
    <w:rsid w:val="00516DBD"/>
    <w:rsid w:val="00520B2C"/>
    <w:rsid w:val="00522FDC"/>
    <w:rsid w:val="005308C7"/>
    <w:rsid w:val="005325E8"/>
    <w:rsid w:val="0054335C"/>
    <w:rsid w:val="00543F91"/>
    <w:rsid w:val="005513F6"/>
    <w:rsid w:val="00551E19"/>
    <w:rsid w:val="0055207E"/>
    <w:rsid w:val="005546F5"/>
    <w:rsid w:val="00561EA2"/>
    <w:rsid w:val="005621FC"/>
    <w:rsid w:val="00566A36"/>
    <w:rsid w:val="005703B3"/>
    <w:rsid w:val="0057452C"/>
    <w:rsid w:val="00576F2E"/>
    <w:rsid w:val="005810B7"/>
    <w:rsid w:val="00587636"/>
    <w:rsid w:val="0058789E"/>
    <w:rsid w:val="00590511"/>
    <w:rsid w:val="00592205"/>
    <w:rsid w:val="005973B0"/>
    <w:rsid w:val="005A53A0"/>
    <w:rsid w:val="005A5B87"/>
    <w:rsid w:val="005A6840"/>
    <w:rsid w:val="005B4F0B"/>
    <w:rsid w:val="005C4345"/>
    <w:rsid w:val="005C5E06"/>
    <w:rsid w:val="005D30FD"/>
    <w:rsid w:val="005D4400"/>
    <w:rsid w:val="005D7454"/>
    <w:rsid w:val="005F1508"/>
    <w:rsid w:val="005F1853"/>
    <w:rsid w:val="005F1BC3"/>
    <w:rsid w:val="005F29ED"/>
    <w:rsid w:val="005F3D44"/>
    <w:rsid w:val="005F4F46"/>
    <w:rsid w:val="005F5E7A"/>
    <w:rsid w:val="005F6E87"/>
    <w:rsid w:val="0060183F"/>
    <w:rsid w:val="0060751D"/>
    <w:rsid w:val="00611FC7"/>
    <w:rsid w:val="0061689D"/>
    <w:rsid w:val="00617C90"/>
    <w:rsid w:val="00620638"/>
    <w:rsid w:val="00621D65"/>
    <w:rsid w:val="00623554"/>
    <w:rsid w:val="00626638"/>
    <w:rsid w:val="00646B06"/>
    <w:rsid w:val="006546FE"/>
    <w:rsid w:val="0065570C"/>
    <w:rsid w:val="006558BE"/>
    <w:rsid w:val="0066024A"/>
    <w:rsid w:val="006624A6"/>
    <w:rsid w:val="00671440"/>
    <w:rsid w:val="00673F33"/>
    <w:rsid w:val="006743B5"/>
    <w:rsid w:val="006772AE"/>
    <w:rsid w:val="00682F9F"/>
    <w:rsid w:val="00686C63"/>
    <w:rsid w:val="00691384"/>
    <w:rsid w:val="006924A2"/>
    <w:rsid w:val="00694CEB"/>
    <w:rsid w:val="006A3B5E"/>
    <w:rsid w:val="006B526C"/>
    <w:rsid w:val="006C1B42"/>
    <w:rsid w:val="006C4821"/>
    <w:rsid w:val="006D148B"/>
    <w:rsid w:val="006D36DA"/>
    <w:rsid w:val="006E0A9D"/>
    <w:rsid w:val="006E4FAE"/>
    <w:rsid w:val="006E527F"/>
    <w:rsid w:val="006F2759"/>
    <w:rsid w:val="00703D5C"/>
    <w:rsid w:val="00704AC1"/>
    <w:rsid w:val="0071435C"/>
    <w:rsid w:val="00714CE6"/>
    <w:rsid w:val="007222D6"/>
    <w:rsid w:val="00722B6D"/>
    <w:rsid w:val="00724350"/>
    <w:rsid w:val="00733552"/>
    <w:rsid w:val="00735594"/>
    <w:rsid w:val="007355BC"/>
    <w:rsid w:val="007375DC"/>
    <w:rsid w:val="00747D1F"/>
    <w:rsid w:val="00752836"/>
    <w:rsid w:val="00757E2A"/>
    <w:rsid w:val="007627D7"/>
    <w:rsid w:val="0076780D"/>
    <w:rsid w:val="00773B0A"/>
    <w:rsid w:val="00783392"/>
    <w:rsid w:val="00784266"/>
    <w:rsid w:val="00791E05"/>
    <w:rsid w:val="00792600"/>
    <w:rsid w:val="007935B3"/>
    <w:rsid w:val="00794A53"/>
    <w:rsid w:val="00796A6C"/>
    <w:rsid w:val="007A566A"/>
    <w:rsid w:val="007A7847"/>
    <w:rsid w:val="007B10B4"/>
    <w:rsid w:val="007C34AF"/>
    <w:rsid w:val="007C4A85"/>
    <w:rsid w:val="007C7A8D"/>
    <w:rsid w:val="007D22D0"/>
    <w:rsid w:val="007D3734"/>
    <w:rsid w:val="007D4CFC"/>
    <w:rsid w:val="007D6702"/>
    <w:rsid w:val="007D7D73"/>
    <w:rsid w:val="007F6BB1"/>
    <w:rsid w:val="00804B28"/>
    <w:rsid w:val="008148A9"/>
    <w:rsid w:val="00814A94"/>
    <w:rsid w:val="00816231"/>
    <w:rsid w:val="00816D59"/>
    <w:rsid w:val="0082353C"/>
    <w:rsid w:val="008321B0"/>
    <w:rsid w:val="00841002"/>
    <w:rsid w:val="0084693F"/>
    <w:rsid w:val="00850682"/>
    <w:rsid w:val="00851D13"/>
    <w:rsid w:val="00852FF5"/>
    <w:rsid w:val="008544FF"/>
    <w:rsid w:val="00854A06"/>
    <w:rsid w:val="00855E98"/>
    <w:rsid w:val="00857724"/>
    <w:rsid w:val="008678A7"/>
    <w:rsid w:val="008710C6"/>
    <w:rsid w:val="008713F2"/>
    <w:rsid w:val="00871E55"/>
    <w:rsid w:val="00873623"/>
    <w:rsid w:val="008805E6"/>
    <w:rsid w:val="00885491"/>
    <w:rsid w:val="00886AF3"/>
    <w:rsid w:val="008920D5"/>
    <w:rsid w:val="008A07F5"/>
    <w:rsid w:val="008A175A"/>
    <w:rsid w:val="008A27CA"/>
    <w:rsid w:val="008A6521"/>
    <w:rsid w:val="008B4D8B"/>
    <w:rsid w:val="008C1841"/>
    <w:rsid w:val="008C257B"/>
    <w:rsid w:val="008D005B"/>
    <w:rsid w:val="008D3C5A"/>
    <w:rsid w:val="008D43FB"/>
    <w:rsid w:val="008D5608"/>
    <w:rsid w:val="008E5291"/>
    <w:rsid w:val="008F2CA2"/>
    <w:rsid w:val="008F4C54"/>
    <w:rsid w:val="008F7FF8"/>
    <w:rsid w:val="00901B87"/>
    <w:rsid w:val="00907D1E"/>
    <w:rsid w:val="00910302"/>
    <w:rsid w:val="009136BE"/>
    <w:rsid w:val="009157B7"/>
    <w:rsid w:val="00917900"/>
    <w:rsid w:val="00917913"/>
    <w:rsid w:val="0091794F"/>
    <w:rsid w:val="0092101F"/>
    <w:rsid w:val="00921FB1"/>
    <w:rsid w:val="0092618C"/>
    <w:rsid w:val="009272D3"/>
    <w:rsid w:val="009275BE"/>
    <w:rsid w:val="00927D9D"/>
    <w:rsid w:val="009345BF"/>
    <w:rsid w:val="00934AFF"/>
    <w:rsid w:val="0093608E"/>
    <w:rsid w:val="00936D7F"/>
    <w:rsid w:val="00951262"/>
    <w:rsid w:val="00951382"/>
    <w:rsid w:val="00952F72"/>
    <w:rsid w:val="00955D73"/>
    <w:rsid w:val="00956585"/>
    <w:rsid w:val="00956A46"/>
    <w:rsid w:val="0096093B"/>
    <w:rsid w:val="009631F5"/>
    <w:rsid w:val="009722E5"/>
    <w:rsid w:val="00972BE0"/>
    <w:rsid w:val="0098301F"/>
    <w:rsid w:val="0098315A"/>
    <w:rsid w:val="00984801"/>
    <w:rsid w:val="00985ED6"/>
    <w:rsid w:val="0099541B"/>
    <w:rsid w:val="00995E27"/>
    <w:rsid w:val="009A59D6"/>
    <w:rsid w:val="009A650D"/>
    <w:rsid w:val="009C33AE"/>
    <w:rsid w:val="009C6B73"/>
    <w:rsid w:val="009D3C18"/>
    <w:rsid w:val="009D4A36"/>
    <w:rsid w:val="009E1A97"/>
    <w:rsid w:val="009E36C9"/>
    <w:rsid w:val="009E6D64"/>
    <w:rsid w:val="009F6670"/>
    <w:rsid w:val="009F6DF0"/>
    <w:rsid w:val="00A0361E"/>
    <w:rsid w:val="00A05A5B"/>
    <w:rsid w:val="00A07342"/>
    <w:rsid w:val="00A074BC"/>
    <w:rsid w:val="00A15FFA"/>
    <w:rsid w:val="00A22648"/>
    <w:rsid w:val="00A24DB4"/>
    <w:rsid w:val="00A3345A"/>
    <w:rsid w:val="00A362D0"/>
    <w:rsid w:val="00A507A1"/>
    <w:rsid w:val="00A53645"/>
    <w:rsid w:val="00A55617"/>
    <w:rsid w:val="00A55869"/>
    <w:rsid w:val="00A75333"/>
    <w:rsid w:val="00A75488"/>
    <w:rsid w:val="00A802B6"/>
    <w:rsid w:val="00A86D75"/>
    <w:rsid w:val="00A8701E"/>
    <w:rsid w:val="00A87657"/>
    <w:rsid w:val="00A91821"/>
    <w:rsid w:val="00A932A1"/>
    <w:rsid w:val="00AA14D1"/>
    <w:rsid w:val="00AA373F"/>
    <w:rsid w:val="00AA442C"/>
    <w:rsid w:val="00AB040D"/>
    <w:rsid w:val="00AB2873"/>
    <w:rsid w:val="00AB7278"/>
    <w:rsid w:val="00AC1619"/>
    <w:rsid w:val="00AC1BAB"/>
    <w:rsid w:val="00AD23CA"/>
    <w:rsid w:val="00AE1AFA"/>
    <w:rsid w:val="00AE1F52"/>
    <w:rsid w:val="00AE4AA3"/>
    <w:rsid w:val="00AF11F1"/>
    <w:rsid w:val="00AF6204"/>
    <w:rsid w:val="00B012C0"/>
    <w:rsid w:val="00B12952"/>
    <w:rsid w:val="00B20255"/>
    <w:rsid w:val="00B25A76"/>
    <w:rsid w:val="00B25A97"/>
    <w:rsid w:val="00B27308"/>
    <w:rsid w:val="00B3060C"/>
    <w:rsid w:val="00B33B11"/>
    <w:rsid w:val="00B35D77"/>
    <w:rsid w:val="00B36A3E"/>
    <w:rsid w:val="00B40007"/>
    <w:rsid w:val="00B41996"/>
    <w:rsid w:val="00B42A29"/>
    <w:rsid w:val="00B42FC2"/>
    <w:rsid w:val="00B44F30"/>
    <w:rsid w:val="00B4503D"/>
    <w:rsid w:val="00B4747E"/>
    <w:rsid w:val="00B47BBD"/>
    <w:rsid w:val="00B5230E"/>
    <w:rsid w:val="00B6044C"/>
    <w:rsid w:val="00B672D2"/>
    <w:rsid w:val="00B67FEB"/>
    <w:rsid w:val="00B727C4"/>
    <w:rsid w:val="00B73D54"/>
    <w:rsid w:val="00B816C5"/>
    <w:rsid w:val="00B87F96"/>
    <w:rsid w:val="00BD4505"/>
    <w:rsid w:val="00BD5422"/>
    <w:rsid w:val="00BD6526"/>
    <w:rsid w:val="00BD77F8"/>
    <w:rsid w:val="00BE0D12"/>
    <w:rsid w:val="00BE2BC0"/>
    <w:rsid w:val="00BE5DE2"/>
    <w:rsid w:val="00BF7C3D"/>
    <w:rsid w:val="00C02C91"/>
    <w:rsid w:val="00C0375D"/>
    <w:rsid w:val="00C04294"/>
    <w:rsid w:val="00C0509F"/>
    <w:rsid w:val="00C101B7"/>
    <w:rsid w:val="00C12B98"/>
    <w:rsid w:val="00C209BB"/>
    <w:rsid w:val="00C22D7E"/>
    <w:rsid w:val="00C243DD"/>
    <w:rsid w:val="00C24EB4"/>
    <w:rsid w:val="00C25660"/>
    <w:rsid w:val="00C26CCF"/>
    <w:rsid w:val="00C27D07"/>
    <w:rsid w:val="00C30655"/>
    <w:rsid w:val="00C315C3"/>
    <w:rsid w:val="00C32BFA"/>
    <w:rsid w:val="00C3473B"/>
    <w:rsid w:val="00C34EA9"/>
    <w:rsid w:val="00C34F85"/>
    <w:rsid w:val="00C40244"/>
    <w:rsid w:val="00C422C4"/>
    <w:rsid w:val="00C45B84"/>
    <w:rsid w:val="00C50F6F"/>
    <w:rsid w:val="00C51C6E"/>
    <w:rsid w:val="00C540E8"/>
    <w:rsid w:val="00C56AD7"/>
    <w:rsid w:val="00C64744"/>
    <w:rsid w:val="00C66368"/>
    <w:rsid w:val="00C7271D"/>
    <w:rsid w:val="00C7585E"/>
    <w:rsid w:val="00C80F33"/>
    <w:rsid w:val="00C82A4B"/>
    <w:rsid w:val="00C85C0A"/>
    <w:rsid w:val="00CA112C"/>
    <w:rsid w:val="00CA20F8"/>
    <w:rsid w:val="00CA410E"/>
    <w:rsid w:val="00CA46AA"/>
    <w:rsid w:val="00CB0C41"/>
    <w:rsid w:val="00CB12AF"/>
    <w:rsid w:val="00CB28ED"/>
    <w:rsid w:val="00CB4B6F"/>
    <w:rsid w:val="00CC0FA3"/>
    <w:rsid w:val="00CC1F74"/>
    <w:rsid w:val="00CC34ED"/>
    <w:rsid w:val="00CC3AA5"/>
    <w:rsid w:val="00CC4C83"/>
    <w:rsid w:val="00CC6BDB"/>
    <w:rsid w:val="00CD127D"/>
    <w:rsid w:val="00CD171A"/>
    <w:rsid w:val="00CD17F7"/>
    <w:rsid w:val="00CD5160"/>
    <w:rsid w:val="00CD63DD"/>
    <w:rsid w:val="00D063BC"/>
    <w:rsid w:val="00D106C6"/>
    <w:rsid w:val="00D107AC"/>
    <w:rsid w:val="00D23B09"/>
    <w:rsid w:val="00D2620F"/>
    <w:rsid w:val="00D3379C"/>
    <w:rsid w:val="00D353C6"/>
    <w:rsid w:val="00D40155"/>
    <w:rsid w:val="00D4193F"/>
    <w:rsid w:val="00D552D0"/>
    <w:rsid w:val="00D602FC"/>
    <w:rsid w:val="00D62B1F"/>
    <w:rsid w:val="00D67068"/>
    <w:rsid w:val="00D737DB"/>
    <w:rsid w:val="00D75EFA"/>
    <w:rsid w:val="00D76CA3"/>
    <w:rsid w:val="00D77B2E"/>
    <w:rsid w:val="00D92FB5"/>
    <w:rsid w:val="00D97B1E"/>
    <w:rsid w:val="00DA3811"/>
    <w:rsid w:val="00DA75AA"/>
    <w:rsid w:val="00DB16DA"/>
    <w:rsid w:val="00DB2DB0"/>
    <w:rsid w:val="00DB3A3A"/>
    <w:rsid w:val="00DB42D5"/>
    <w:rsid w:val="00DB4975"/>
    <w:rsid w:val="00DB563C"/>
    <w:rsid w:val="00DB7283"/>
    <w:rsid w:val="00DB7CF2"/>
    <w:rsid w:val="00DC2F2D"/>
    <w:rsid w:val="00DC6B29"/>
    <w:rsid w:val="00DD1891"/>
    <w:rsid w:val="00DD33C1"/>
    <w:rsid w:val="00DD794C"/>
    <w:rsid w:val="00DE049F"/>
    <w:rsid w:val="00DE0A59"/>
    <w:rsid w:val="00DE120B"/>
    <w:rsid w:val="00DE545B"/>
    <w:rsid w:val="00DE60DF"/>
    <w:rsid w:val="00DF28C6"/>
    <w:rsid w:val="00DF42AC"/>
    <w:rsid w:val="00DF5491"/>
    <w:rsid w:val="00E0298D"/>
    <w:rsid w:val="00E03BC7"/>
    <w:rsid w:val="00E06C87"/>
    <w:rsid w:val="00E10CDF"/>
    <w:rsid w:val="00E11019"/>
    <w:rsid w:val="00E278BE"/>
    <w:rsid w:val="00E35D6D"/>
    <w:rsid w:val="00E36382"/>
    <w:rsid w:val="00E36A7A"/>
    <w:rsid w:val="00E415DF"/>
    <w:rsid w:val="00E41E68"/>
    <w:rsid w:val="00E44B1F"/>
    <w:rsid w:val="00E45B03"/>
    <w:rsid w:val="00E54CEB"/>
    <w:rsid w:val="00E60110"/>
    <w:rsid w:val="00E629C5"/>
    <w:rsid w:val="00E63F19"/>
    <w:rsid w:val="00E67E08"/>
    <w:rsid w:val="00E71947"/>
    <w:rsid w:val="00E76564"/>
    <w:rsid w:val="00E77053"/>
    <w:rsid w:val="00E80D50"/>
    <w:rsid w:val="00E83373"/>
    <w:rsid w:val="00E95573"/>
    <w:rsid w:val="00EA0C8D"/>
    <w:rsid w:val="00EA66FA"/>
    <w:rsid w:val="00EA6926"/>
    <w:rsid w:val="00EB508A"/>
    <w:rsid w:val="00EB5D99"/>
    <w:rsid w:val="00EC2BAF"/>
    <w:rsid w:val="00EC4AA6"/>
    <w:rsid w:val="00ED0ED0"/>
    <w:rsid w:val="00ED1A2A"/>
    <w:rsid w:val="00ED328E"/>
    <w:rsid w:val="00EF1270"/>
    <w:rsid w:val="00EF2164"/>
    <w:rsid w:val="00EF2FD4"/>
    <w:rsid w:val="00EF3608"/>
    <w:rsid w:val="00F06452"/>
    <w:rsid w:val="00F11A93"/>
    <w:rsid w:val="00F13C6A"/>
    <w:rsid w:val="00F15FDD"/>
    <w:rsid w:val="00F31146"/>
    <w:rsid w:val="00F31756"/>
    <w:rsid w:val="00F33D8D"/>
    <w:rsid w:val="00F374D8"/>
    <w:rsid w:val="00F45A01"/>
    <w:rsid w:val="00F461E6"/>
    <w:rsid w:val="00F501E8"/>
    <w:rsid w:val="00F5110F"/>
    <w:rsid w:val="00F52200"/>
    <w:rsid w:val="00F5411D"/>
    <w:rsid w:val="00F546AC"/>
    <w:rsid w:val="00F6066C"/>
    <w:rsid w:val="00F62C5B"/>
    <w:rsid w:val="00F63C57"/>
    <w:rsid w:val="00F650DA"/>
    <w:rsid w:val="00F70558"/>
    <w:rsid w:val="00F8229F"/>
    <w:rsid w:val="00F85A28"/>
    <w:rsid w:val="00F978B4"/>
    <w:rsid w:val="00FB0EB5"/>
    <w:rsid w:val="00FB104C"/>
    <w:rsid w:val="00FB13DB"/>
    <w:rsid w:val="00FB3A9F"/>
    <w:rsid w:val="00FC2081"/>
    <w:rsid w:val="00FC2637"/>
    <w:rsid w:val="00FC7915"/>
    <w:rsid w:val="00FD0F84"/>
    <w:rsid w:val="00FD26F3"/>
    <w:rsid w:val="00FE15F8"/>
    <w:rsid w:val="00FE2324"/>
    <w:rsid w:val="00FE3F42"/>
    <w:rsid w:val="00FE5661"/>
    <w:rsid w:val="00FE6815"/>
    <w:rsid w:val="00FF2B4C"/>
    <w:rsid w:val="00FF503C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46B3B8"/>
  <w15:docId w15:val="{6432453A-367C-4180-A9EC-CD9405FB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94"/>
    <w:pPr>
      <w:spacing w:after="0" w:line="240" w:lineRule="auto"/>
      <w:ind w:firstLine="36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2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52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BC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074BC"/>
    <w:rPr>
      <w:rFonts w:asciiTheme="majorHAnsi" w:eastAsiaTheme="majorEastAsia" w:hAnsiTheme="majorHAnsi" w:cstheme="majorBidi"/>
      <w:b/>
      <w:bCs/>
      <w:i/>
      <w:iCs/>
      <w:color w:val="auto"/>
    </w:rPr>
  </w:style>
  <w:style w:type="table" w:customStyle="1" w:styleId="LightList-Accent12">
    <w:name w:val="Light List - Accent 12"/>
    <w:basedOn w:val="TableNormal"/>
    <w:uiPriority w:val="61"/>
    <w:rsid w:val="00A074BC"/>
    <w:pPr>
      <w:spacing w:after="0" w:line="240" w:lineRule="auto"/>
      <w:ind w:firstLine="360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9272D3"/>
    <w:rPr>
      <w:b/>
      <w:bCs/>
      <w:spacing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927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7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72D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D3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7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72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74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74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47E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474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7847"/>
    <w:pPr>
      <w:spacing w:line="276" w:lineRule="auto"/>
      <w:ind w:firstLine="0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26638"/>
    <w:pPr>
      <w:tabs>
        <w:tab w:val="right" w:leader="dot" w:pos="9063"/>
      </w:tabs>
      <w:spacing w:after="100"/>
    </w:pPr>
    <w:rPr>
      <w:rFonts w:asciiTheme="majorHAnsi" w:hAnsiTheme="majorHAnsi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26638"/>
    <w:pPr>
      <w:tabs>
        <w:tab w:val="right" w:leader="dot" w:pos="9063"/>
      </w:tabs>
      <w:spacing w:after="100"/>
      <w:ind w:left="220"/>
    </w:pPr>
    <w:rPr>
      <w:rFonts w:asciiTheme="majorHAnsi" w:hAnsiTheme="majorHAnsi"/>
      <w:noProof/>
    </w:rPr>
  </w:style>
  <w:style w:type="character" w:styleId="Hyperlink">
    <w:name w:val="Hyperlink"/>
    <w:basedOn w:val="DefaultParagraphFont"/>
    <w:uiPriority w:val="99"/>
    <w:unhideWhenUsed/>
    <w:rsid w:val="007A78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6AF3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2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F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2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FD4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79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913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791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64FF7"/>
    <w:pPr>
      <w:ind w:firstLine="0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364FF7"/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1C54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E52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626638"/>
    <w:pPr>
      <w:tabs>
        <w:tab w:val="right" w:leader="dot" w:pos="9063"/>
      </w:tabs>
      <w:spacing w:after="100"/>
      <w:ind w:left="440"/>
    </w:pPr>
    <w:rPr>
      <w:rFonts w:asciiTheme="majorHAnsi" w:hAnsiTheme="majorHAns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907D1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E05"/>
    <w:rPr>
      <w:rFonts w:eastAsiaTheme="minorEastAsia"/>
      <w:b/>
      <w:bCs/>
      <w:sz w:val="20"/>
      <w:szCs w:val="20"/>
    </w:rPr>
  </w:style>
  <w:style w:type="paragraph" w:customStyle="1" w:styleId="Normal1">
    <w:name w:val="Normal1"/>
    <w:basedOn w:val="Normal"/>
    <w:rsid w:val="00D2620F"/>
    <w:pPr>
      <w:spacing w:before="120"/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l-txt">
    <w:name w:val="tbl-txt"/>
    <w:basedOn w:val="Normal"/>
    <w:rsid w:val="00D2620F"/>
    <w:pPr>
      <w:spacing w:before="60" w:after="60"/>
      <w:ind w:firstLine="0"/>
    </w:pPr>
    <w:rPr>
      <w:rFonts w:ascii="Times New Roman" w:eastAsia="Times New Roman" w:hAnsi="Times New Roman" w:cs="Times New Roman"/>
    </w:rPr>
  </w:style>
  <w:style w:type="character" w:customStyle="1" w:styleId="italic">
    <w:name w:val="italic"/>
    <w:basedOn w:val="DefaultParagraphFont"/>
    <w:rsid w:val="00D2620F"/>
    <w:rPr>
      <w:i/>
      <w:iCs/>
    </w:rPr>
  </w:style>
  <w:style w:type="character" w:customStyle="1" w:styleId="bold">
    <w:name w:val="bold"/>
    <w:basedOn w:val="DefaultParagraphFont"/>
    <w:rsid w:val="00361A88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2B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2BFA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2BFA"/>
    <w:rPr>
      <w:vertAlign w:val="superscript"/>
    </w:rPr>
  </w:style>
  <w:style w:type="character" w:customStyle="1" w:styleId="ElnevezsChar">
    <w:name w:val="Elnevezés Char"/>
    <w:basedOn w:val="DefaultParagraphFont"/>
    <w:link w:val="Elnevezs"/>
    <w:rsid w:val="000E5A27"/>
    <w:rPr>
      <w:rFonts w:cstheme="minorHAnsi"/>
      <w:color w:val="548DD4" w:themeColor="text2" w:themeTint="99"/>
    </w:rPr>
  </w:style>
  <w:style w:type="paragraph" w:customStyle="1" w:styleId="Elnevezs">
    <w:name w:val="Elnevezés"/>
    <w:basedOn w:val="Normal"/>
    <w:link w:val="ElnevezsChar"/>
    <w:qFormat/>
    <w:rsid w:val="000E5A27"/>
    <w:pPr>
      <w:spacing w:after="120" w:line="276" w:lineRule="auto"/>
      <w:ind w:firstLine="0"/>
      <w:jc w:val="both"/>
    </w:pPr>
    <w:rPr>
      <w:rFonts w:eastAsiaTheme="minorHAnsi" w:cstheme="minorHAnsi"/>
      <w:color w:val="548DD4" w:themeColor="text2" w:themeTint="99"/>
    </w:rPr>
  </w:style>
  <w:style w:type="paragraph" w:styleId="ListNumber">
    <w:name w:val="List Number"/>
    <w:basedOn w:val="Normal"/>
    <w:uiPriority w:val="99"/>
    <w:unhideWhenUsed/>
    <w:rsid w:val="000E5A27"/>
    <w:pPr>
      <w:spacing w:after="120" w:line="276" w:lineRule="auto"/>
      <w:ind w:firstLine="0"/>
      <w:contextualSpacing/>
    </w:pPr>
    <w:rPr>
      <w:rFonts w:eastAsiaTheme="minorHAnsi" w:cstheme="minorHAnsi"/>
      <w:lang w:val="en-GB"/>
    </w:rPr>
  </w:style>
  <w:style w:type="character" w:customStyle="1" w:styleId="Standard">
    <w:name w:val="Standard"/>
    <w:basedOn w:val="DefaultParagraphFont"/>
    <w:uiPriority w:val="1"/>
    <w:qFormat/>
    <w:rsid w:val="00E80D50"/>
    <w:rPr>
      <w:color w:val="0000F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4463">
          <w:marLeft w:val="90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70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25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511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814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270">
          <w:marLeft w:val="90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911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7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595">
          <w:marLeft w:val="15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937">
          <w:marLeft w:val="15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027">
          <w:marLeft w:val="201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4">
          <w:marLeft w:val="201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57">
          <w:marLeft w:val="201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729">
          <w:marLeft w:val="15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70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7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917">
          <w:marLeft w:val="15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769">
          <w:marLeft w:val="15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63">
          <w:marLeft w:val="15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581">
          <w:marLeft w:val="158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544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217">
          <w:marLeft w:val="90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668">
          <w:marLeft w:val="90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76">
          <w:marLeft w:val="90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631">
          <w:marLeft w:val="90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0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6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C01BB6364CB4A8E008B12CD0DEF4E" ma:contentTypeVersion="13" ma:contentTypeDescription="Create a new document." ma:contentTypeScope="" ma:versionID="eddce1fdec3d583760f8e79dd2d5096a">
  <xsd:schema xmlns:xsd="http://www.w3.org/2001/XMLSchema" xmlns:xs="http://www.w3.org/2001/XMLSchema" xmlns:p="http://schemas.microsoft.com/office/2006/metadata/properties" xmlns:ns3="7c61229b-fa06-42ea-8020-94125c360a3b" xmlns:ns4="cd6350ac-3121-47b3-bd8e-7ec7dda4070c" targetNamespace="http://schemas.microsoft.com/office/2006/metadata/properties" ma:root="true" ma:fieldsID="87d17422799e1ae62165e50888e5ea99" ns3:_="" ns4:_="">
    <xsd:import namespace="7c61229b-fa06-42ea-8020-94125c360a3b"/>
    <xsd:import namespace="cd6350ac-3121-47b3-bd8e-7ec7dda407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229b-fa06-42ea-8020-94125c360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350ac-3121-47b3-bd8e-7ec7dda40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21D0D-1C6D-4B50-9325-629C595DB6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1D8E3-F697-4C65-876C-D4589124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1229b-fa06-42ea-8020-94125c360a3b"/>
    <ds:schemaRef ds:uri="cd6350ac-3121-47b3-bd8e-7ec7dda4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5E116-FB52-4FED-A1F7-FC3C8615E7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79E300-A43D-4378-931D-E1CF7E7C3F14}">
  <ds:schemaRefs>
    <ds:schemaRef ds:uri="http://purl.org/dc/elements/1.1/"/>
    <ds:schemaRef ds:uri="http://schemas.microsoft.com/office/2006/metadata/properties"/>
    <ds:schemaRef ds:uri="http://purl.org/dc/terms/"/>
    <ds:schemaRef ds:uri="cd6350ac-3121-47b3-bd8e-7ec7dda40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c61229b-fa06-42ea-8020-94125c360a3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4420</Words>
  <Characters>30504</Characters>
  <Application>Microsoft Office Word</Application>
  <DocSecurity>0</DocSecurity>
  <Lines>254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</Company>
  <LinksUpToDate>false</LinksUpToDate>
  <CharactersWithSpaces>34855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Bokor,  (Veronika)</dc:creator>
  <cp:lastModifiedBy>Szabó,  (Zoltán László)</cp:lastModifiedBy>
  <cp:revision>51</cp:revision>
  <cp:lastPrinted>2021-12-23T21:43:00Z</cp:lastPrinted>
  <dcterms:created xsi:type="dcterms:W3CDTF">2020-12-09T15:38:00Z</dcterms:created>
  <dcterms:modified xsi:type="dcterms:W3CDTF">2021-12-23T21:43:00Z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0x0101000C2C01BB6364CB4A8E008B12CD0DEF4E</vt:lpwstr>
  </property>
</Properties>
</file>